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山阴</w:t>
      </w:r>
      <w:r>
        <w:rPr>
          <w:rFonts w:ascii="宋体" w:hAnsi="宋体" w:eastAsia="宋体" w:cs="宋体"/>
          <w:b/>
          <w:bCs/>
          <w:sz w:val="44"/>
          <w:szCs w:val="44"/>
        </w:rPr>
        <w:t>县民族宗教事务局重大行政执法决定法制审核目录</w:t>
      </w:r>
      <w:r>
        <w:rPr>
          <w:rFonts w:hint="eastAsia" w:ascii="宋体" w:hAnsi="宋体" w:eastAsia="宋体" w:cs="宋体"/>
          <w:b/>
          <w:bCs/>
          <w:sz w:val="44"/>
          <w:szCs w:val="44"/>
          <w:lang w:val="en-US" w:eastAsia="zh-CN"/>
        </w:rPr>
        <w:t>清单</w:t>
      </w:r>
    </w:p>
    <w:tbl>
      <w:tblPr>
        <w:tblStyle w:val="3"/>
        <w:tblW w:w="14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90"/>
        <w:gridCol w:w="1530"/>
        <w:gridCol w:w="1662"/>
        <w:gridCol w:w="1488"/>
        <w:gridCol w:w="1485"/>
        <w:gridCol w:w="757"/>
        <w:gridCol w:w="2280"/>
        <w:gridCol w:w="18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590"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执法类别</w:t>
            </w:r>
          </w:p>
        </w:tc>
        <w:tc>
          <w:tcPr>
            <w:tcW w:w="1530"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审核项目</w:t>
            </w:r>
          </w:p>
        </w:tc>
        <w:tc>
          <w:tcPr>
            <w:tcW w:w="1662"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承办机构</w:t>
            </w:r>
          </w:p>
        </w:tc>
        <w:tc>
          <w:tcPr>
            <w:tcW w:w="1488"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审核条件</w:t>
            </w:r>
          </w:p>
        </w:tc>
        <w:tc>
          <w:tcPr>
            <w:tcW w:w="1485"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审核依据</w:t>
            </w:r>
          </w:p>
        </w:tc>
        <w:tc>
          <w:tcPr>
            <w:tcW w:w="757"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审核机构</w:t>
            </w:r>
          </w:p>
        </w:tc>
        <w:tc>
          <w:tcPr>
            <w:tcW w:w="2280"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提交的审核材料</w:t>
            </w:r>
          </w:p>
        </w:tc>
        <w:tc>
          <w:tcPr>
            <w:tcW w:w="1840"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审核重点</w:t>
            </w:r>
          </w:p>
        </w:tc>
        <w:tc>
          <w:tcPr>
            <w:tcW w:w="1260"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审核时限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59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行政处罚</w:t>
            </w:r>
          </w:p>
        </w:tc>
        <w:tc>
          <w:tcPr>
            <w:tcW w:w="1530" w:type="dxa"/>
            <w:vAlign w:val="center"/>
          </w:tcPr>
          <w:p>
            <w:pPr>
              <w:jc w:val="left"/>
              <w:rPr>
                <w:rFonts w:hint="eastAsia" w:ascii="仿宋_GB2312" w:hAnsi="仿宋_GB2312" w:eastAsia="仿宋_GB2312" w:cs="仿宋_GB2312"/>
                <w:b w:val="0"/>
                <w:bCs w:val="0"/>
                <w:sz w:val="24"/>
                <w:szCs w:val="24"/>
                <w:vertAlign w:val="baseline"/>
                <w:lang w:val="en-US" w:eastAsia="zh-CN"/>
              </w:rPr>
            </w:pPr>
            <w:bookmarkStart w:id="0" w:name="_GoBack"/>
            <w:r>
              <w:rPr>
                <w:rFonts w:hint="eastAsia" w:ascii="仿宋_GB2312" w:hAnsi="仿宋_GB2312" w:eastAsia="仿宋_GB2312" w:cs="仿宋_GB2312"/>
                <w:b w:val="0"/>
                <w:bCs w:val="0"/>
                <w:sz w:val="24"/>
                <w:szCs w:val="24"/>
                <w:vertAlign w:val="baseline"/>
                <w:lang w:val="en-US" w:eastAsia="zh-CN"/>
              </w:rPr>
              <w:t>对擅自设立宗教活动场所的、宗教活动场所已被撤销登记或者吊销登记证书仍然进行宗教活动的，或者擅自设立宗教院校的处罚</w:t>
            </w:r>
            <w:bookmarkEnd w:id="0"/>
          </w:p>
        </w:tc>
        <w:tc>
          <w:tcPr>
            <w:tcW w:w="1662"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山阴县民族宗教事务局</w:t>
            </w:r>
          </w:p>
        </w:tc>
        <w:tc>
          <w:tcPr>
            <w:tcW w:w="1488" w:type="dxa"/>
            <w:vAlign w:val="center"/>
          </w:tcPr>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统一纳入行政处罚案件审核程序。由具体执法承办机构直接向审核机构提出（属于情节复杂或者重大违法行为的较重处罚在审核后须依规经部门负责人集体讨论决定</w:t>
            </w:r>
          </w:p>
        </w:tc>
        <w:tc>
          <w:tcPr>
            <w:tcW w:w="1485" w:type="dxa"/>
            <w:vAlign w:val="center"/>
          </w:tcPr>
          <w:p>
            <w:pPr>
              <w:numPr>
                <w:ilvl w:val="0"/>
                <w:numId w:val="1"/>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《行政处罚法》</w:t>
            </w:r>
          </w:p>
          <w:p>
            <w:pPr>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2.《宗教事务条例》</w:t>
            </w:r>
          </w:p>
        </w:tc>
        <w:tc>
          <w:tcPr>
            <w:tcW w:w="757"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行政执法审核机构</w:t>
            </w:r>
          </w:p>
        </w:tc>
        <w:tc>
          <w:tcPr>
            <w:tcW w:w="2280" w:type="dxa"/>
            <w:vAlign w:val="center"/>
          </w:tcPr>
          <w:p>
            <w:pPr>
              <w:numPr>
                <w:ilvl w:val="0"/>
                <w:numId w:val="2"/>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重大执法决定调查（审查）终结报告及处理意见；</w:t>
            </w:r>
          </w:p>
          <w:p>
            <w:pPr>
              <w:numPr>
                <w:ilvl w:val="0"/>
                <w:numId w:val="2"/>
              </w:numPr>
              <w:ind w:left="0" w:leftChars="0" w:firstLine="0" w:firstLineChars="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重大执法决定书草拟稿</w:t>
            </w:r>
          </w:p>
          <w:p>
            <w:pPr>
              <w:numPr>
                <w:ilvl w:val="0"/>
                <w:numId w:val="2"/>
              </w:numPr>
              <w:ind w:left="0" w:leftChars="0" w:firstLine="0" w:firstLineChars="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重大执法决定相关法律依据和证据资料；</w:t>
            </w:r>
          </w:p>
          <w:p>
            <w:pPr>
              <w:numPr>
                <w:ilvl w:val="0"/>
                <w:numId w:val="2"/>
              </w:numPr>
              <w:ind w:left="0" w:leftChars="0" w:firstLine="0" w:firstLineChars="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经听证或评估的，应当提交听证笔录或评估报告；</w:t>
            </w:r>
          </w:p>
          <w:p>
            <w:pPr>
              <w:numPr>
                <w:ilvl w:val="0"/>
                <w:numId w:val="0"/>
              </w:numPr>
              <w:ind w:leftChars="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5、其他需要提交的材料</w:t>
            </w:r>
          </w:p>
        </w:tc>
        <w:tc>
          <w:tcPr>
            <w:tcW w:w="1840"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vertAlign w:val="baseline"/>
                <w:lang w:val="en-US" w:eastAsia="zh-CN"/>
              </w:rPr>
              <w:t>行政执法主体资格是否合法、是否超越法定权限；2、行政执法人员是否具备执法资格、有无执法证件；3、事实是否清楚，证据是否合法充分；4、适用法律、法规、规章是否准确，行政裁量权行使是否适当；5、是否符合法定程序；6、行政执法文书的制作是否完备、规范；7、其他应当审核的内容</w:t>
            </w:r>
          </w:p>
        </w:tc>
        <w:tc>
          <w:tcPr>
            <w:tcW w:w="1260"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0个工作日；特别重大、复杂的案件，经分管负责人批准，可以延长5个工作日。</w:t>
            </w:r>
          </w:p>
        </w:tc>
      </w:tr>
    </w:tbl>
    <w:p>
      <w:pPr>
        <w:jc w:val="center"/>
        <w:rPr>
          <w:rFonts w:hint="eastAsia" w:ascii="宋体" w:hAnsi="宋体" w:eastAsia="宋体" w:cs="宋体"/>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9561A"/>
    <w:multiLevelType w:val="singleLevel"/>
    <w:tmpl w:val="94F9561A"/>
    <w:lvl w:ilvl="0" w:tentative="0">
      <w:start w:val="1"/>
      <w:numFmt w:val="decimal"/>
      <w:suff w:val="nothing"/>
      <w:lvlText w:val="%1、"/>
      <w:lvlJc w:val="left"/>
    </w:lvl>
  </w:abstractNum>
  <w:abstractNum w:abstractNumId="1">
    <w:nsid w:val="64B3C9B3"/>
    <w:multiLevelType w:val="singleLevel"/>
    <w:tmpl w:val="64B3C9B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zI3ZjI2MjQ1ZjFjOTIyZmI4Zjc1ZmI4ZmNjN2QifQ=="/>
  </w:docVars>
  <w:rsids>
    <w:rsidRoot w:val="7275675B"/>
    <w:rsid w:val="04B02F23"/>
    <w:rsid w:val="2E8A531F"/>
    <w:rsid w:val="3A5215D7"/>
    <w:rsid w:val="7275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489</Words>
  <Characters>490</Characters>
  <Lines>0</Lines>
  <Paragraphs>0</Paragraphs>
  <TotalTime>30</TotalTime>
  <ScaleCrop>false</ScaleCrop>
  <LinksUpToDate>false</LinksUpToDate>
  <CharactersWithSpaces>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2022-11-23T01:48:00Z</dcterms:created>
  <dc:creator>张强</dc:creator>
  <cp:lastModifiedBy>贾旺胜（统战部）</cp:lastModifiedBy>
  <cp:lastPrinted>2022-11-23T03:08:46Z</cp:lastPrinted>
  <dcterms:modified xsi:type="dcterms:W3CDTF">2022-11-23T03:08:50Z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A7AEB013B2394483B3987E855B999B3E</vt:lpwstr>
  </property>
</Properties>
</file>