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D1095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Lines="50" w:line="580" w:lineRule="exact"/>
        <w:jc w:val="center"/>
        <w:textAlignment w:val="auto"/>
        <w:rPr>
          <w:rFonts w:hint="eastAsia"/>
          <w:color w:val="000000"/>
          <w:lang w:val="en-US" w:eastAsia="zh-CN"/>
        </w:rPr>
      </w:pPr>
      <w:bookmarkStart w:id="0" w:name="_GoBack"/>
      <w:r>
        <w:rPr>
          <w:rFonts w:hint="eastAsia"/>
          <w:color w:val="000000"/>
          <w:lang w:val="en-US" w:eastAsia="zh-CN"/>
        </w:rPr>
        <w:t>山西瑞启煤炭运销有限公司山阴县东榆林发煤站</w:t>
      </w:r>
    </w:p>
    <w:p w14:paraId="56B5F623">
      <w:pPr>
        <w:pStyle w:val="2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Lines="50" w:line="580" w:lineRule="exact"/>
        <w:jc w:val="center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未密闭易产生扬尘物料的罚款幅度裁定</w:t>
      </w:r>
    </w:p>
    <w:bookmarkEnd w:id="0"/>
    <w:p w14:paraId="3C09472E">
      <w:pPr>
        <w:spacing w:line="420" w:lineRule="exact"/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</w:p>
    <w:tbl>
      <w:tblPr>
        <w:tblStyle w:val="8"/>
        <w:tblW w:w="8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336"/>
        <w:gridCol w:w="1788"/>
        <w:gridCol w:w="673"/>
        <w:gridCol w:w="2506"/>
        <w:gridCol w:w="1149"/>
        <w:gridCol w:w="873"/>
      </w:tblGrid>
      <w:tr w14:paraId="70815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tblHeader/>
        </w:trPr>
        <w:tc>
          <w:tcPr>
            <w:tcW w:w="468" w:type="dxa"/>
            <w:vMerge w:val="restart"/>
            <w:noWrap w:val="0"/>
            <w:vAlign w:val="center"/>
          </w:tcPr>
          <w:p w14:paraId="2827F8FF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序</w:t>
            </w:r>
          </w:p>
          <w:p w14:paraId="355F2495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62724B06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eastAsia="en-US"/>
              </w:rPr>
              <w:t>裁量要素</w:t>
            </w:r>
          </w:p>
        </w:tc>
        <w:tc>
          <w:tcPr>
            <w:tcW w:w="3655" w:type="dxa"/>
            <w:gridSpan w:val="2"/>
            <w:noWrap w:val="0"/>
            <w:vAlign w:val="center"/>
          </w:tcPr>
          <w:p w14:paraId="67020541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判定标准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648D2DA5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zh-CN"/>
              </w:rPr>
              <w:t>决定</w:t>
            </w:r>
          </w:p>
        </w:tc>
      </w:tr>
      <w:tr w14:paraId="65635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exact"/>
          <w:tblHeader/>
        </w:trPr>
        <w:tc>
          <w:tcPr>
            <w:tcW w:w="468" w:type="dxa"/>
            <w:vMerge w:val="continue"/>
            <w:tcBorders>
              <w:top w:val="nil"/>
            </w:tcBorders>
            <w:noWrap w:val="0"/>
            <w:vAlign w:val="center"/>
          </w:tcPr>
          <w:p w14:paraId="6CC6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408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kern w:val="0"/>
                <w:sz w:val="21"/>
                <w:szCs w:val="21"/>
                <w:lang w:val="zh-CN" w:eastAsia="en-US" w:bidi="zh-CN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DA02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kern w:val="0"/>
                <w:sz w:val="21"/>
                <w:szCs w:val="21"/>
                <w:lang w:val="zh-CN" w:eastAsia="en-US" w:bidi="zh-CN"/>
              </w:rPr>
              <w:t>要素</w:t>
            </w:r>
          </w:p>
        </w:tc>
        <w:tc>
          <w:tcPr>
            <w:tcW w:w="1788" w:type="dxa"/>
            <w:noWrap w:val="0"/>
            <w:vAlign w:val="center"/>
          </w:tcPr>
          <w:p w14:paraId="33CE26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具体条件</w:t>
            </w:r>
          </w:p>
        </w:tc>
        <w:tc>
          <w:tcPr>
            <w:tcW w:w="673" w:type="dxa"/>
            <w:noWrap w:val="0"/>
            <w:vAlign w:val="center"/>
          </w:tcPr>
          <w:p w14:paraId="16ACEC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构成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比例</w:t>
            </w:r>
          </w:p>
        </w:tc>
        <w:tc>
          <w:tcPr>
            <w:tcW w:w="2506" w:type="dxa"/>
            <w:noWrap w:val="0"/>
            <w:vAlign w:val="center"/>
          </w:tcPr>
          <w:p w14:paraId="15DB20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程度</w:t>
            </w:r>
          </w:p>
        </w:tc>
        <w:tc>
          <w:tcPr>
            <w:tcW w:w="1149" w:type="dxa"/>
            <w:noWrap w:val="0"/>
            <w:vAlign w:val="center"/>
          </w:tcPr>
          <w:p w14:paraId="46A747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1"/>
                <w:szCs w:val="21"/>
                <w:lang w:val="en-US" w:eastAsia="en-US"/>
              </w:rPr>
              <w:t>百分值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2"/>
                <w:lang w:val="en-US" w:eastAsia="en-US" w:bidi="zh-CN"/>
              </w:rPr>
              <w:t>（X）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 w14:paraId="682D95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</w:tr>
      <w:tr w14:paraId="1AB0D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exact"/>
        </w:trPr>
        <w:tc>
          <w:tcPr>
            <w:tcW w:w="468" w:type="dxa"/>
            <w:vMerge w:val="restart"/>
            <w:noWrap w:val="0"/>
            <w:vAlign w:val="center"/>
          </w:tcPr>
          <w:p w14:paraId="6C2B498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1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2F7D2E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zh-CN"/>
              </w:rPr>
              <w:t>违法事实情节</w:t>
            </w:r>
          </w:p>
        </w:tc>
        <w:tc>
          <w:tcPr>
            <w:tcW w:w="1788" w:type="dxa"/>
            <w:noWrap w:val="0"/>
            <w:vAlign w:val="center"/>
          </w:tcPr>
          <w:p w14:paraId="0680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煤炭类</w:t>
            </w:r>
          </w:p>
        </w:tc>
        <w:tc>
          <w:tcPr>
            <w:tcW w:w="673" w:type="dxa"/>
            <w:noWrap w:val="0"/>
            <w:vAlign w:val="center"/>
          </w:tcPr>
          <w:p w14:paraId="37649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15%</w:t>
            </w:r>
          </w:p>
        </w:tc>
        <w:tc>
          <w:tcPr>
            <w:tcW w:w="2506" w:type="dxa"/>
            <w:noWrap w:val="0"/>
            <w:vAlign w:val="center"/>
          </w:tcPr>
          <w:p w14:paraId="6CA26C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  <w:t>煤炭、煤矸石、煤渣、煤灰</w:t>
            </w:r>
          </w:p>
        </w:tc>
        <w:tc>
          <w:tcPr>
            <w:tcW w:w="1149" w:type="dxa"/>
            <w:noWrap w:val="0"/>
            <w:vAlign w:val="center"/>
          </w:tcPr>
          <w:p w14:paraId="53599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10%＜X≤15%</w:t>
            </w:r>
          </w:p>
        </w:tc>
        <w:tc>
          <w:tcPr>
            <w:tcW w:w="873" w:type="dxa"/>
            <w:noWrap w:val="0"/>
            <w:vAlign w:val="center"/>
          </w:tcPr>
          <w:p w14:paraId="2F26C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12%</w:t>
            </w:r>
          </w:p>
        </w:tc>
      </w:tr>
      <w:tr w14:paraId="172F2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4100B17A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79A32173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7AC7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排污去向</w:t>
            </w:r>
          </w:p>
        </w:tc>
        <w:tc>
          <w:tcPr>
            <w:tcW w:w="673" w:type="dxa"/>
            <w:noWrap w:val="0"/>
            <w:vAlign w:val="center"/>
          </w:tcPr>
          <w:p w14:paraId="2A48A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</w:t>
            </w:r>
          </w:p>
        </w:tc>
        <w:tc>
          <w:tcPr>
            <w:tcW w:w="2506" w:type="dxa"/>
            <w:noWrap w:val="0"/>
            <w:vAlign w:val="center"/>
          </w:tcPr>
          <w:p w14:paraId="50FAD7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工业区和其他地区</w:t>
            </w:r>
          </w:p>
        </w:tc>
        <w:tc>
          <w:tcPr>
            <w:tcW w:w="1149" w:type="dxa"/>
            <w:noWrap w:val="0"/>
            <w:vAlign w:val="center"/>
          </w:tcPr>
          <w:p w14:paraId="21CF8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1%</w:t>
            </w:r>
            <w:r>
              <w:rPr>
                <w:rFonts w:hint="eastAsia" w:ascii="仿宋" w:hAnsi="仿宋" w:eastAsia="仿宋" w:cs="仿宋"/>
                <w:color w:val="000000"/>
                <w:lang w:eastAsia="en-US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X≤5%</w:t>
            </w:r>
          </w:p>
        </w:tc>
        <w:tc>
          <w:tcPr>
            <w:tcW w:w="873" w:type="dxa"/>
            <w:noWrap w:val="0"/>
            <w:vAlign w:val="center"/>
          </w:tcPr>
          <w:p w14:paraId="16E0C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7ADAC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2772551C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2F350A2E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5421AC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物料储量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zh-CN" w:bidi="ar-SA"/>
              </w:rPr>
              <w:t>2万吨</w:t>
            </w:r>
          </w:p>
        </w:tc>
        <w:tc>
          <w:tcPr>
            <w:tcW w:w="673" w:type="dxa"/>
            <w:noWrap w:val="0"/>
            <w:vAlign w:val="center"/>
          </w:tcPr>
          <w:p w14:paraId="036112C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4"/>
                <w:lang w:val="en-US" w:eastAsia="en-US" w:bidi="ar-SA"/>
              </w:rPr>
              <w:t>15%</w:t>
            </w:r>
          </w:p>
        </w:tc>
        <w:tc>
          <w:tcPr>
            <w:tcW w:w="2506" w:type="dxa"/>
            <w:noWrap w:val="0"/>
            <w:vAlign w:val="center"/>
          </w:tcPr>
          <w:p w14:paraId="1473B3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200吨以上的</w:t>
            </w:r>
          </w:p>
        </w:tc>
        <w:tc>
          <w:tcPr>
            <w:tcW w:w="1149" w:type="dxa"/>
            <w:noWrap w:val="0"/>
            <w:vAlign w:val="center"/>
          </w:tcPr>
          <w:p w14:paraId="55AAC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10%＜X≤15%</w:t>
            </w:r>
          </w:p>
        </w:tc>
        <w:tc>
          <w:tcPr>
            <w:tcW w:w="873" w:type="dxa"/>
            <w:noWrap w:val="0"/>
            <w:vAlign w:val="center"/>
          </w:tcPr>
          <w:p w14:paraId="6802D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  <w:t>%</w:t>
            </w:r>
          </w:p>
        </w:tc>
      </w:tr>
      <w:tr w14:paraId="2D8C7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2" w:hRule="exact"/>
        </w:trPr>
        <w:tc>
          <w:tcPr>
            <w:tcW w:w="468" w:type="dxa"/>
            <w:vMerge w:val="continue"/>
            <w:noWrap w:val="0"/>
            <w:vAlign w:val="center"/>
          </w:tcPr>
          <w:p w14:paraId="5C4B98FF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607D720A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33ED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违法行为持续时间25天</w:t>
            </w:r>
          </w:p>
        </w:tc>
        <w:tc>
          <w:tcPr>
            <w:tcW w:w="673" w:type="dxa"/>
            <w:noWrap w:val="0"/>
            <w:vAlign w:val="center"/>
          </w:tcPr>
          <w:p w14:paraId="54F6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noWrap w:val="0"/>
            <w:vAlign w:val="center"/>
          </w:tcPr>
          <w:p w14:paraId="503B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4"/>
                <w:lang w:val="en-US" w:eastAsia="zh-CN"/>
              </w:rPr>
              <w:t>不足1个月</w:t>
            </w:r>
          </w:p>
        </w:tc>
        <w:tc>
          <w:tcPr>
            <w:tcW w:w="1149" w:type="dxa"/>
            <w:noWrap w:val="0"/>
            <w:vAlign w:val="center"/>
          </w:tcPr>
          <w:p w14:paraId="0BC94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position w:val="1"/>
                <w:sz w:val="21"/>
                <w:szCs w:val="21"/>
                <w:lang w:val="en-US" w:eastAsia="zh-CN" w:bidi="zh-CN"/>
              </w:rPr>
              <w:t>3%≤X≤5%</w:t>
            </w:r>
          </w:p>
        </w:tc>
        <w:tc>
          <w:tcPr>
            <w:tcW w:w="873" w:type="dxa"/>
            <w:noWrap w:val="0"/>
            <w:vAlign w:val="center"/>
          </w:tcPr>
          <w:p w14:paraId="0F892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3%</w:t>
            </w:r>
          </w:p>
        </w:tc>
      </w:tr>
      <w:tr w14:paraId="3B083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 w14:paraId="19DF9494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72895127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35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</w:p>
        </w:tc>
        <w:tc>
          <w:tcPr>
            <w:tcW w:w="1788" w:type="dxa"/>
            <w:noWrap w:val="0"/>
            <w:vAlign w:val="center"/>
          </w:tcPr>
          <w:p w14:paraId="2F2A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两年内违反次数</w:t>
            </w:r>
          </w:p>
        </w:tc>
        <w:tc>
          <w:tcPr>
            <w:tcW w:w="673" w:type="dxa"/>
            <w:noWrap w:val="0"/>
            <w:vAlign w:val="center"/>
          </w:tcPr>
          <w:p w14:paraId="2B061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</w:p>
        </w:tc>
        <w:tc>
          <w:tcPr>
            <w:tcW w:w="2506" w:type="dxa"/>
            <w:noWrap w:val="0"/>
            <w:vAlign w:val="center"/>
          </w:tcPr>
          <w:p w14:paraId="01D5D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1次</w:t>
            </w:r>
          </w:p>
        </w:tc>
        <w:tc>
          <w:tcPr>
            <w:tcW w:w="1149" w:type="dxa"/>
            <w:noWrap w:val="0"/>
            <w:vAlign w:val="center"/>
          </w:tcPr>
          <w:p w14:paraId="7024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en-US" w:bidi="zh-CN"/>
              </w:rPr>
              <w:t>3%</w:t>
            </w:r>
          </w:p>
        </w:tc>
        <w:tc>
          <w:tcPr>
            <w:tcW w:w="873" w:type="dxa"/>
            <w:noWrap w:val="0"/>
            <w:vAlign w:val="center"/>
          </w:tcPr>
          <w:p w14:paraId="2B32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en-US" w:bidi="zh-CN"/>
              </w:rPr>
              <w:t>3%</w:t>
            </w:r>
          </w:p>
        </w:tc>
      </w:tr>
      <w:tr w14:paraId="77F99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523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2"/>
                <w:lang w:val="en-US" w:eastAsia="en-US"/>
              </w:rPr>
              <w:t>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C7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整改情况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正在计划清理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B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E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已停止违法，未进行改正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383F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zh-CN" w:bidi="zh-CN"/>
              </w:rPr>
              <w:t>3%≤X≤9%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0D51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3%</w:t>
            </w:r>
          </w:p>
        </w:tc>
      </w:tr>
      <w:tr w14:paraId="3FCDD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9" w:hRule="exact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8F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3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lang w:val="en-US" w:eastAsia="en-US"/>
              </w:rPr>
              <w:t>3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F0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en-US" w:bidi="zh-CN"/>
              </w:rPr>
              <w:t>社会影响和生态破坏程度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37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公众一次有效举报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0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20%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轻微（1级）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2EA3A08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4" w:line="400" w:lineRule="exact"/>
              <w:ind w:right="75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1%≤X≤5%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1AC303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2%</w:t>
            </w:r>
          </w:p>
        </w:tc>
      </w:tr>
      <w:tr w14:paraId="0C440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4</w:t>
            </w:r>
          </w:p>
        </w:tc>
        <w:tc>
          <w:tcPr>
            <w:tcW w:w="133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1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经济承受度</w:t>
            </w:r>
          </w:p>
        </w:tc>
        <w:tc>
          <w:tcPr>
            <w:tcW w:w="17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从业人员15人，年营业收入约260万</w:t>
            </w:r>
          </w:p>
        </w:tc>
        <w:tc>
          <w:tcPr>
            <w:tcW w:w="6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1B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E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小型企事业单位</w:t>
            </w:r>
          </w:p>
          <w:p w14:paraId="34E9E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en-US" w:bidi="zh-CN"/>
              </w:rPr>
              <w:t>（涉公益单位）</w:t>
            </w:r>
          </w:p>
        </w:tc>
        <w:tc>
          <w:tcPr>
            <w:tcW w:w="1149" w:type="dxa"/>
            <w:tcBorders>
              <w:left w:val="single" w:color="auto" w:sz="4" w:space="0"/>
            </w:tcBorders>
            <w:noWrap w:val="0"/>
            <w:vAlign w:val="center"/>
          </w:tcPr>
          <w:p w14:paraId="1B830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position w:val="1"/>
                <w:sz w:val="21"/>
                <w:lang w:eastAsia="en-US" w:bidi="zh-CN"/>
              </w:rPr>
              <w:t>－3%≤X＜0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3C8D1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-2%</w:t>
            </w:r>
          </w:p>
        </w:tc>
      </w:tr>
      <w:tr w14:paraId="7E97C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7" w:hRule="exact"/>
        </w:trPr>
        <w:tc>
          <w:tcPr>
            <w:tcW w:w="4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lang w:eastAsia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en-US" w:eastAsia="zh-CN" w:bidi="zh-CN"/>
              </w:rPr>
              <w:t>5</w:t>
            </w:r>
          </w:p>
        </w:tc>
        <w:tc>
          <w:tcPr>
            <w:tcW w:w="13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9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2"/>
                <w:lang w:val="zh-CN" w:eastAsia="zh-CN" w:bidi="zh-CN"/>
              </w:rPr>
              <w:t>地区差异</w:t>
            </w:r>
          </w:p>
        </w:tc>
        <w:tc>
          <w:tcPr>
            <w:tcW w:w="17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D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zh-CN" w:eastAsia="en-US" w:bidi="zh-CN"/>
              </w:rPr>
              <w:t>经济社会发展程度及环境容量的大小</w:t>
            </w:r>
          </w:p>
        </w:tc>
        <w:tc>
          <w:tcPr>
            <w:tcW w:w="6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5%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C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各地级市可以结合实际自行确定地区差异，裁量比例数值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（加减５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en-US" w:eastAsia="en-US" w:bidi="zh-CN"/>
              </w:rPr>
              <w:t>%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0"/>
                <w:position w:val="1"/>
                <w:sz w:val="21"/>
                <w:szCs w:val="22"/>
                <w:lang w:val="zh-CN" w:eastAsia="en-US" w:bidi="zh-CN"/>
              </w:rPr>
              <w:t>）</w:t>
            </w:r>
          </w:p>
        </w:tc>
        <w:tc>
          <w:tcPr>
            <w:tcW w:w="114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85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－5%≤X≤5%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188E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0%</w:t>
            </w:r>
          </w:p>
        </w:tc>
      </w:tr>
      <w:tr w14:paraId="3F652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exact"/>
        </w:trPr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8"/>
                <w:szCs w:val="28"/>
                <w:lang w:val="en-US" w:eastAsia="en-US" w:bidi="zh-CN"/>
              </w:rPr>
              <w:t>合  计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39A5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2"/>
                <w:kern w:val="0"/>
                <w:position w:val="1"/>
                <w:sz w:val="21"/>
                <w:szCs w:val="22"/>
                <w:lang w:val="en-US" w:eastAsia="en-US" w:bidi="zh-CN"/>
              </w:rPr>
              <w:t>36%</w:t>
            </w:r>
          </w:p>
        </w:tc>
      </w:tr>
    </w:tbl>
    <w:p w14:paraId="379255F6">
      <w:pPr>
        <w:pStyle w:val="7"/>
        <w:tabs>
          <w:tab w:val="left" w:pos="352"/>
        </w:tabs>
        <w:spacing w:line="317" w:lineRule="exact"/>
        <w:ind w:firstLine="410" w:firstLineChars="200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/>
        </w:rPr>
      </w:pPr>
    </w:p>
    <w:p w14:paraId="512AB5F9">
      <w:pPr>
        <w:pStyle w:val="7"/>
        <w:tabs>
          <w:tab w:val="left" w:pos="352"/>
        </w:tabs>
        <w:spacing w:line="317" w:lineRule="exact"/>
        <w:ind w:firstLine="410" w:firstLineChars="200"/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/>
        </w:rPr>
        <w:t>计算方法</w:t>
      </w:r>
      <w:r>
        <w:rPr>
          <w:rFonts w:hint="eastAsia" w:ascii="仿宋" w:hAnsi="仿宋" w:eastAsia="仿宋" w:cs="仿宋"/>
          <w:b/>
          <w:bCs/>
          <w:color w:val="000000"/>
          <w:spacing w:val="-3"/>
          <w:sz w:val="21"/>
          <w:szCs w:val="21"/>
          <w:lang w:val="en-US" w:eastAsia="zh-CN"/>
        </w:rPr>
        <w:t>：</w:t>
      </w:r>
    </w:p>
    <w:p w14:paraId="0E2BA944">
      <w:pPr>
        <w:pStyle w:val="7"/>
        <w:tabs>
          <w:tab w:val="left" w:pos="352"/>
        </w:tabs>
        <w:spacing w:line="276" w:lineRule="auto"/>
        <w:ind w:firstLine="420" w:firstLineChars="200"/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本裁量表格计算方法：</w:t>
      </w:r>
    </w:p>
    <w:p w14:paraId="35875B35">
      <w:pPr>
        <w:pStyle w:val="7"/>
        <w:tabs>
          <w:tab w:val="left" w:pos="352"/>
        </w:tabs>
        <w:spacing w:line="276" w:lineRule="auto"/>
        <w:ind w:firstLine="420" w:firstLineChars="200"/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</w:pP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罚款金额=百分值之和</w:t>
      </w:r>
      <w:r>
        <w:rPr>
          <w:rFonts w:hint="eastAsia" w:ascii="仿宋" w:hAnsi="仿宋" w:eastAsia="仿宋" w:cs="仿宋"/>
          <w:color w:val="000000"/>
          <w:spacing w:val="-3"/>
          <w:sz w:val="21"/>
          <w:szCs w:val="21"/>
        </w:rPr>
        <w:t>×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最高法定罚款上限 10万元，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eastAsia="zh-CN" w:bidi="ar-SA"/>
        </w:rPr>
        <w:t>罚款金额按“千”取整，不得低于法定限额</w:t>
      </w:r>
      <w:r>
        <w:rPr>
          <w:rFonts w:hint="eastAsia" w:ascii="仿宋" w:hAnsi="仿宋" w:eastAsia="仿宋" w:cs="仿宋"/>
          <w:color w:val="000000"/>
          <w:kern w:val="2"/>
          <w:sz w:val="21"/>
          <w:lang w:val="en-US" w:bidi="ar-SA"/>
        </w:rPr>
        <w:t>。</w:t>
      </w:r>
    </w:p>
    <w:p w14:paraId="771B4373">
      <w:pPr>
        <w:pStyle w:val="4"/>
        <w:ind w:left="0" w:leftChars="0" w:firstLine="0" w:firstLineChars="0"/>
        <w:rPr>
          <w:rFonts w:hint="eastAsia"/>
          <w:lang w:eastAsia="zh-CN"/>
        </w:rPr>
      </w:pPr>
    </w:p>
    <w:p w14:paraId="7B663DA3"/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ZjRiYmU0ODZjNDZhYWRkMmQ5MTNhYjEyZmFhOWQifQ=="/>
  </w:docVars>
  <w:rsids>
    <w:rsidRoot w:val="6D512027"/>
    <w:rsid w:val="6D51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jc w:val="left"/>
      <w:outlineLvl w:val="2"/>
    </w:pPr>
    <w:rPr>
      <w:rFonts w:eastAsia="微软雅黑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spacing w:before="100" w:beforeAutospacing="1" w:after="0"/>
      <w:ind w:firstLine="420" w:firstLineChars="200"/>
    </w:pPr>
    <w:rPr>
      <w:rFonts w:cs="Calibri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2024-10-30T07:39:00Z</dcterms:created>
  <dc:creator>123456</dc:creator>
  <cp:lastModifiedBy>123456</cp:lastModifiedBy>
  <dcterms:modified xsi:type="dcterms:W3CDTF">2024-10-30T07:40:28Z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2F224E6A8B1443B78BE0396EAEE1B032_11</vt:lpwstr>
  </property>
</Properties>
</file>