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06133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Lines="50" w:line="640" w:lineRule="exact"/>
        <w:jc w:val="center"/>
        <w:textAlignment w:val="auto"/>
        <w:rPr>
          <w:rFonts w:hint="eastAsia"/>
          <w:color w:val="000000"/>
          <w:lang w:val="en-US" w:eastAsia="zh-CN"/>
        </w:rPr>
      </w:pPr>
      <w:bookmarkStart w:id="0" w:name="_GoBack"/>
      <w:r>
        <w:rPr>
          <w:rFonts w:hint="eastAsia"/>
          <w:color w:val="000000"/>
          <w:lang w:val="en-US" w:eastAsia="zh-CN"/>
        </w:rPr>
        <w:t>山阴县晋源洗煤有限公司</w:t>
      </w:r>
    </w:p>
    <w:p w14:paraId="4AF69807"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Lines="50" w:line="580" w:lineRule="exact"/>
        <w:jc w:val="center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未密闭易产生扬尘物料的罚款幅度裁定</w:t>
      </w:r>
    </w:p>
    <w:bookmarkEnd w:id="0"/>
    <w:p w14:paraId="5F65963B">
      <w:pPr>
        <w:spacing w:line="420" w:lineRule="exact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</w:p>
    <w:tbl>
      <w:tblPr>
        <w:tblStyle w:val="8"/>
        <w:tblW w:w="87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336"/>
        <w:gridCol w:w="1788"/>
        <w:gridCol w:w="673"/>
        <w:gridCol w:w="2506"/>
        <w:gridCol w:w="1149"/>
        <w:gridCol w:w="873"/>
      </w:tblGrid>
      <w:tr w14:paraId="14ED0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tblHeader/>
        </w:trPr>
        <w:tc>
          <w:tcPr>
            <w:tcW w:w="468" w:type="dxa"/>
            <w:vMerge w:val="restart"/>
            <w:noWrap w:val="0"/>
            <w:vAlign w:val="center"/>
          </w:tcPr>
          <w:p w14:paraId="412FE9D3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  <w:t>序</w:t>
            </w:r>
          </w:p>
          <w:p w14:paraId="62BDE9CD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  <w:t>号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 w14:paraId="239B22E6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en-US"/>
              </w:rPr>
              <w:t>裁量要素</w:t>
            </w:r>
          </w:p>
        </w:tc>
        <w:tc>
          <w:tcPr>
            <w:tcW w:w="3655" w:type="dxa"/>
            <w:gridSpan w:val="2"/>
            <w:noWrap w:val="0"/>
            <w:vAlign w:val="center"/>
          </w:tcPr>
          <w:p w14:paraId="074C7223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判定标准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 w14:paraId="7CA0F9BC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决定</w:t>
            </w:r>
          </w:p>
        </w:tc>
      </w:tr>
      <w:tr w14:paraId="56D91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exact"/>
          <w:tblHeader/>
        </w:trPr>
        <w:tc>
          <w:tcPr>
            <w:tcW w:w="468" w:type="dxa"/>
            <w:vMerge w:val="continue"/>
            <w:tcBorders>
              <w:top w:val="nil"/>
            </w:tcBorders>
            <w:noWrap w:val="0"/>
            <w:vAlign w:val="center"/>
          </w:tcPr>
          <w:p w14:paraId="68C29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408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kern w:val="0"/>
                <w:sz w:val="21"/>
                <w:szCs w:val="21"/>
                <w:lang w:val="zh-CN" w:eastAsia="en-US" w:bidi="zh-CN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32FA3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1"/>
                <w:szCs w:val="21"/>
                <w:lang w:val="zh-CN" w:eastAsia="en-US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1"/>
                <w:szCs w:val="21"/>
                <w:lang w:val="zh-CN" w:eastAsia="en-US" w:bidi="zh-CN"/>
              </w:rPr>
              <w:t>要素</w:t>
            </w:r>
          </w:p>
        </w:tc>
        <w:tc>
          <w:tcPr>
            <w:tcW w:w="1788" w:type="dxa"/>
            <w:noWrap w:val="0"/>
            <w:vAlign w:val="center"/>
          </w:tcPr>
          <w:p w14:paraId="4DB5D16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具体条件</w:t>
            </w:r>
          </w:p>
        </w:tc>
        <w:tc>
          <w:tcPr>
            <w:tcW w:w="673" w:type="dxa"/>
            <w:noWrap w:val="0"/>
            <w:vAlign w:val="center"/>
          </w:tcPr>
          <w:p w14:paraId="7638F78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构成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比例</w:t>
            </w:r>
          </w:p>
        </w:tc>
        <w:tc>
          <w:tcPr>
            <w:tcW w:w="2506" w:type="dxa"/>
            <w:noWrap w:val="0"/>
            <w:vAlign w:val="center"/>
          </w:tcPr>
          <w:p w14:paraId="3BB9EC9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程度</w:t>
            </w:r>
          </w:p>
        </w:tc>
        <w:tc>
          <w:tcPr>
            <w:tcW w:w="1149" w:type="dxa"/>
            <w:noWrap w:val="0"/>
            <w:vAlign w:val="center"/>
          </w:tcPr>
          <w:p w14:paraId="7F4648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en-US"/>
              </w:rPr>
              <w:t>百分值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2"/>
                <w:lang w:val="en-US" w:eastAsia="en-US" w:bidi="zh-CN"/>
              </w:rPr>
              <w:t>（X）</w:t>
            </w:r>
          </w:p>
        </w:tc>
        <w:tc>
          <w:tcPr>
            <w:tcW w:w="873" w:type="dxa"/>
            <w:vMerge w:val="continue"/>
            <w:noWrap w:val="0"/>
            <w:vAlign w:val="center"/>
          </w:tcPr>
          <w:p w14:paraId="22EBEFB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</w:tr>
      <w:tr w14:paraId="48F9A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exact"/>
        </w:trPr>
        <w:tc>
          <w:tcPr>
            <w:tcW w:w="468" w:type="dxa"/>
            <w:vMerge w:val="restart"/>
            <w:noWrap w:val="0"/>
            <w:vAlign w:val="center"/>
          </w:tcPr>
          <w:p w14:paraId="1BF1EC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  <w:t>1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 w14:paraId="02F0F08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zh-CN"/>
              </w:rPr>
              <w:t>违法事实情节</w:t>
            </w:r>
          </w:p>
        </w:tc>
        <w:tc>
          <w:tcPr>
            <w:tcW w:w="1788" w:type="dxa"/>
            <w:noWrap w:val="0"/>
            <w:vAlign w:val="center"/>
          </w:tcPr>
          <w:p w14:paraId="61EEE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煤炭类包含精煤、原煤</w:t>
            </w:r>
          </w:p>
        </w:tc>
        <w:tc>
          <w:tcPr>
            <w:tcW w:w="673" w:type="dxa"/>
            <w:noWrap w:val="0"/>
            <w:vAlign w:val="center"/>
          </w:tcPr>
          <w:p w14:paraId="255FB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15%</w:t>
            </w:r>
          </w:p>
        </w:tc>
        <w:tc>
          <w:tcPr>
            <w:tcW w:w="2506" w:type="dxa"/>
            <w:noWrap w:val="0"/>
            <w:vAlign w:val="center"/>
          </w:tcPr>
          <w:p w14:paraId="40D9890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zh-CN" w:bidi="zh-CN"/>
              </w:rPr>
              <w:t>煤炭、煤矸石、煤渣、煤灰</w:t>
            </w:r>
          </w:p>
        </w:tc>
        <w:tc>
          <w:tcPr>
            <w:tcW w:w="1149" w:type="dxa"/>
            <w:noWrap w:val="0"/>
            <w:vAlign w:val="center"/>
          </w:tcPr>
          <w:p w14:paraId="5D174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10%＜X≤15%</w:t>
            </w:r>
          </w:p>
        </w:tc>
        <w:tc>
          <w:tcPr>
            <w:tcW w:w="873" w:type="dxa"/>
            <w:noWrap w:val="0"/>
            <w:vAlign w:val="center"/>
          </w:tcPr>
          <w:p w14:paraId="7545A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12%</w:t>
            </w:r>
          </w:p>
        </w:tc>
      </w:tr>
      <w:tr w14:paraId="21A87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exact"/>
        </w:trPr>
        <w:tc>
          <w:tcPr>
            <w:tcW w:w="468" w:type="dxa"/>
            <w:vMerge w:val="continue"/>
            <w:noWrap w:val="0"/>
            <w:vAlign w:val="center"/>
          </w:tcPr>
          <w:p w14:paraId="122CAEC3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653C6FF8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52844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位于北周庄镇工业园区</w:t>
            </w:r>
          </w:p>
        </w:tc>
        <w:tc>
          <w:tcPr>
            <w:tcW w:w="673" w:type="dxa"/>
            <w:noWrap w:val="0"/>
            <w:vAlign w:val="center"/>
          </w:tcPr>
          <w:p w14:paraId="3C9D7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10%</w:t>
            </w:r>
          </w:p>
        </w:tc>
        <w:tc>
          <w:tcPr>
            <w:tcW w:w="2506" w:type="dxa"/>
            <w:noWrap w:val="0"/>
            <w:vAlign w:val="center"/>
          </w:tcPr>
          <w:p w14:paraId="349C90B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en-US" w:bidi="ar-SA"/>
              </w:rPr>
              <w:t>工业区和其他地区</w:t>
            </w:r>
          </w:p>
        </w:tc>
        <w:tc>
          <w:tcPr>
            <w:tcW w:w="1149" w:type="dxa"/>
            <w:noWrap w:val="0"/>
            <w:vAlign w:val="center"/>
          </w:tcPr>
          <w:p w14:paraId="48A45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  <w:t>1%</w:t>
            </w:r>
            <w:r>
              <w:rPr>
                <w:rFonts w:hint="eastAsia" w:ascii="仿宋" w:hAnsi="仿宋" w:eastAsia="仿宋" w:cs="仿宋"/>
                <w:color w:val="000000"/>
                <w:lang w:eastAsia="en-US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  <w:t>X≤5%</w:t>
            </w:r>
          </w:p>
        </w:tc>
        <w:tc>
          <w:tcPr>
            <w:tcW w:w="873" w:type="dxa"/>
            <w:noWrap w:val="0"/>
            <w:vAlign w:val="center"/>
          </w:tcPr>
          <w:p w14:paraId="684BB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  <w:t>%</w:t>
            </w:r>
          </w:p>
        </w:tc>
      </w:tr>
      <w:tr w14:paraId="5FB72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 w14:paraId="40AA2A31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0F9CBD58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221D1FA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en-US" w:bidi="ar-SA"/>
              </w:rPr>
              <w:t>物料储量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  <w:t>8000吨</w:t>
            </w:r>
          </w:p>
        </w:tc>
        <w:tc>
          <w:tcPr>
            <w:tcW w:w="673" w:type="dxa"/>
            <w:noWrap w:val="0"/>
            <w:vAlign w:val="center"/>
          </w:tcPr>
          <w:p w14:paraId="11D80F3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en-US" w:bidi="ar-SA"/>
              </w:rPr>
              <w:t>15%</w:t>
            </w:r>
          </w:p>
        </w:tc>
        <w:tc>
          <w:tcPr>
            <w:tcW w:w="2506" w:type="dxa"/>
            <w:noWrap w:val="0"/>
            <w:vAlign w:val="center"/>
          </w:tcPr>
          <w:p w14:paraId="0D33EA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200吨以上的</w:t>
            </w:r>
          </w:p>
        </w:tc>
        <w:tc>
          <w:tcPr>
            <w:tcW w:w="1149" w:type="dxa"/>
            <w:noWrap w:val="0"/>
            <w:vAlign w:val="center"/>
          </w:tcPr>
          <w:p w14:paraId="64A1D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10%＜X≤15%</w:t>
            </w:r>
          </w:p>
        </w:tc>
        <w:tc>
          <w:tcPr>
            <w:tcW w:w="873" w:type="dxa"/>
            <w:noWrap w:val="0"/>
            <w:vAlign w:val="center"/>
          </w:tcPr>
          <w:p w14:paraId="45B11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  <w:t>%</w:t>
            </w:r>
          </w:p>
        </w:tc>
      </w:tr>
      <w:tr w14:paraId="24026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exact"/>
        </w:trPr>
        <w:tc>
          <w:tcPr>
            <w:tcW w:w="468" w:type="dxa"/>
            <w:vMerge w:val="continue"/>
            <w:noWrap w:val="0"/>
            <w:vAlign w:val="center"/>
          </w:tcPr>
          <w:p w14:paraId="126164FE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6E1B1C48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02AE9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违法行为持续时间10天</w:t>
            </w:r>
          </w:p>
        </w:tc>
        <w:tc>
          <w:tcPr>
            <w:tcW w:w="673" w:type="dxa"/>
            <w:noWrap w:val="0"/>
            <w:vAlign w:val="center"/>
          </w:tcPr>
          <w:p w14:paraId="12C80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  <w:tc>
          <w:tcPr>
            <w:tcW w:w="2506" w:type="dxa"/>
            <w:noWrap w:val="0"/>
            <w:vAlign w:val="center"/>
          </w:tcPr>
          <w:p w14:paraId="2667F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4"/>
                <w:lang w:val="en-US" w:eastAsia="zh-CN"/>
              </w:rPr>
              <w:t>不足1个月</w:t>
            </w:r>
          </w:p>
        </w:tc>
        <w:tc>
          <w:tcPr>
            <w:tcW w:w="1149" w:type="dxa"/>
            <w:noWrap w:val="0"/>
            <w:vAlign w:val="center"/>
          </w:tcPr>
          <w:p w14:paraId="72D1B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"/>
                <w:kern w:val="0"/>
                <w:position w:val="1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position w:val="1"/>
                <w:sz w:val="21"/>
                <w:szCs w:val="21"/>
                <w:lang w:val="en-US" w:eastAsia="zh-CN" w:bidi="zh-CN"/>
              </w:rPr>
              <w:t>3%≤X≤5%</w:t>
            </w:r>
          </w:p>
        </w:tc>
        <w:tc>
          <w:tcPr>
            <w:tcW w:w="873" w:type="dxa"/>
            <w:noWrap w:val="0"/>
            <w:vAlign w:val="center"/>
          </w:tcPr>
          <w:p w14:paraId="1A35E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zh-CN"/>
              </w:rPr>
              <w:t>3%</w:t>
            </w:r>
          </w:p>
        </w:tc>
      </w:tr>
      <w:tr w14:paraId="2B28D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 w14:paraId="30A553F9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46F10628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63FFD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两年内违反次数</w:t>
            </w:r>
          </w:p>
        </w:tc>
        <w:tc>
          <w:tcPr>
            <w:tcW w:w="673" w:type="dxa"/>
            <w:noWrap w:val="0"/>
            <w:vAlign w:val="center"/>
          </w:tcPr>
          <w:p w14:paraId="17E71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%</w:t>
            </w:r>
          </w:p>
        </w:tc>
        <w:tc>
          <w:tcPr>
            <w:tcW w:w="2506" w:type="dxa"/>
            <w:noWrap w:val="0"/>
            <w:vAlign w:val="center"/>
          </w:tcPr>
          <w:p w14:paraId="6EF49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0次</w:t>
            </w:r>
          </w:p>
        </w:tc>
        <w:tc>
          <w:tcPr>
            <w:tcW w:w="1149" w:type="dxa"/>
            <w:noWrap w:val="0"/>
            <w:vAlign w:val="center"/>
          </w:tcPr>
          <w:p w14:paraId="2A347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zh-CN"/>
              </w:rPr>
              <w:t>0%</w:t>
            </w:r>
          </w:p>
        </w:tc>
        <w:tc>
          <w:tcPr>
            <w:tcW w:w="873" w:type="dxa"/>
            <w:noWrap w:val="0"/>
            <w:vAlign w:val="center"/>
          </w:tcPr>
          <w:p w14:paraId="2886B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en-US" w:bidi="zh-CN"/>
              </w:rPr>
              <w:t>0%</w:t>
            </w:r>
          </w:p>
        </w:tc>
      </w:tr>
      <w:tr w14:paraId="1230A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D8A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2"/>
                <w:lang w:val="en-US" w:eastAsia="en-US"/>
              </w:rPr>
              <w:t>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19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  <w:t>整改情况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C7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未停止违法行为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FB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85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拒不改正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 w14:paraId="572F1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zh-CN" w:bidi="zh-CN"/>
              </w:rPr>
              <w:t>10%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6E27B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10%</w:t>
            </w:r>
          </w:p>
        </w:tc>
      </w:tr>
      <w:tr w14:paraId="08155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9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CF43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lang w:val="en-US" w:eastAsia="en-US"/>
              </w:rPr>
              <w:t>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CD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en-US" w:bidi="zh-CN"/>
              </w:rPr>
              <w:t>社会影响和生态破坏程度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66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未收集到相关证据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70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20%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A2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 w14:paraId="6ED40B7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4" w:line="400" w:lineRule="exact"/>
              <w:ind w:right="75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36D0023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</w:tr>
      <w:tr w14:paraId="2A30E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</w:trPr>
        <w:tc>
          <w:tcPr>
            <w:tcW w:w="4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C9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zh-CN" w:bidi="zh-CN"/>
              </w:rPr>
              <w:t>4</w:t>
            </w:r>
          </w:p>
        </w:tc>
        <w:tc>
          <w:tcPr>
            <w:tcW w:w="1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93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zh-CN" w:bidi="zh-CN"/>
              </w:rPr>
              <w:t>经济承受度</w:t>
            </w:r>
          </w:p>
        </w:tc>
        <w:tc>
          <w:tcPr>
            <w:tcW w:w="17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34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从业人员32人</w:t>
            </w:r>
          </w:p>
        </w:tc>
        <w:tc>
          <w:tcPr>
            <w:tcW w:w="6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BA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5%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4B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  <w:t>小型企事业单位</w:t>
            </w:r>
          </w:p>
          <w:p w14:paraId="0561B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en-US" w:bidi="zh-CN"/>
              </w:rPr>
              <w:t>（涉公益单位）</w:t>
            </w:r>
          </w:p>
        </w:tc>
        <w:tc>
          <w:tcPr>
            <w:tcW w:w="1149" w:type="dxa"/>
            <w:tcBorders>
              <w:left w:val="single" w:color="auto" w:sz="4" w:space="0"/>
            </w:tcBorders>
            <w:noWrap w:val="0"/>
            <w:vAlign w:val="center"/>
          </w:tcPr>
          <w:p w14:paraId="247BB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position w:val="1"/>
                <w:sz w:val="21"/>
                <w:lang w:eastAsia="en-US" w:bidi="zh-CN"/>
              </w:rPr>
              <w:t>－3%≤X＜0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59BFF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-2%</w:t>
            </w:r>
          </w:p>
        </w:tc>
      </w:tr>
      <w:tr w14:paraId="6CAD0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2" w:hRule="exact"/>
        </w:trPr>
        <w:tc>
          <w:tcPr>
            <w:tcW w:w="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D2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en-US" w:eastAsia="zh-CN" w:bidi="zh-CN"/>
              </w:rPr>
              <w:t>5</w:t>
            </w: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13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2"/>
                <w:lang w:val="zh-CN" w:eastAsia="zh-CN" w:bidi="zh-CN"/>
              </w:rPr>
              <w:t>地区差异</w:t>
            </w:r>
          </w:p>
        </w:tc>
        <w:tc>
          <w:tcPr>
            <w:tcW w:w="1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1E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zh-CN" w:eastAsia="en-US" w:bidi="zh-CN"/>
              </w:rPr>
              <w:t>经济社会发展程度及环境容量的大小</w:t>
            </w:r>
          </w:p>
        </w:tc>
        <w:tc>
          <w:tcPr>
            <w:tcW w:w="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C2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5%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79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各地级市可以结合实际自行确定地区差异，裁量比例数值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zh-CN" w:eastAsia="en-US" w:bidi="zh-CN"/>
              </w:rPr>
              <w:t>（加减５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en-US" w:eastAsia="en-US" w:bidi="zh-CN"/>
              </w:rPr>
              <w:t>%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position w:val="1"/>
                <w:sz w:val="21"/>
                <w:szCs w:val="22"/>
                <w:lang w:val="zh-CN" w:eastAsia="en-US" w:bidi="zh-CN"/>
              </w:rPr>
              <w:t>）</w:t>
            </w:r>
          </w:p>
        </w:tc>
        <w:tc>
          <w:tcPr>
            <w:tcW w:w="114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901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－5%≤X≤5%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09D12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0%</w:t>
            </w:r>
          </w:p>
        </w:tc>
      </w:tr>
      <w:tr w14:paraId="37B0E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exact"/>
        </w:trPr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9C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8"/>
                <w:szCs w:val="28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8"/>
                <w:szCs w:val="28"/>
                <w:lang w:val="en-US" w:eastAsia="en-US" w:bidi="zh-CN"/>
              </w:rPr>
              <w:t>合  计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noWrap w:val="0"/>
            <w:vAlign w:val="center"/>
          </w:tcPr>
          <w:p w14:paraId="652D7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"/>
                <w:kern w:val="0"/>
                <w:position w:val="1"/>
                <w:sz w:val="21"/>
                <w:szCs w:val="22"/>
                <w:lang w:val="en-US" w:eastAsia="en-US" w:bidi="zh-CN"/>
              </w:rPr>
              <w:t>38%</w:t>
            </w:r>
          </w:p>
        </w:tc>
      </w:tr>
    </w:tbl>
    <w:p w14:paraId="74D80C86">
      <w:pPr>
        <w:pStyle w:val="7"/>
        <w:tabs>
          <w:tab w:val="left" w:pos="352"/>
        </w:tabs>
        <w:spacing w:line="317" w:lineRule="exact"/>
        <w:ind w:firstLine="410" w:firstLineChars="200"/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/>
        </w:rPr>
      </w:pPr>
    </w:p>
    <w:p w14:paraId="2E2ADE3E">
      <w:pPr>
        <w:pStyle w:val="7"/>
        <w:tabs>
          <w:tab w:val="left" w:pos="352"/>
        </w:tabs>
        <w:spacing w:line="317" w:lineRule="exact"/>
        <w:ind w:firstLine="410" w:firstLineChars="200"/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/>
        </w:rPr>
        <w:t>计算方法</w:t>
      </w:r>
      <w:r>
        <w:rPr>
          <w:rFonts w:hint="eastAsia" w:ascii="仿宋" w:hAnsi="仿宋" w:eastAsia="仿宋" w:cs="仿宋"/>
          <w:b/>
          <w:bCs/>
          <w:color w:val="000000"/>
          <w:spacing w:val="-3"/>
          <w:sz w:val="21"/>
          <w:szCs w:val="21"/>
          <w:lang w:val="en-US" w:eastAsia="zh-CN"/>
        </w:rPr>
        <w:t>：</w:t>
      </w:r>
    </w:p>
    <w:p w14:paraId="23FF65C6">
      <w:pPr>
        <w:pStyle w:val="7"/>
        <w:tabs>
          <w:tab w:val="left" w:pos="352"/>
        </w:tabs>
        <w:spacing w:line="276" w:lineRule="auto"/>
        <w:ind w:firstLine="420" w:firstLineChars="200"/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  <w:t>本裁量表格计算方法：</w:t>
      </w:r>
    </w:p>
    <w:p w14:paraId="301B8000">
      <w:pPr>
        <w:pStyle w:val="7"/>
        <w:tabs>
          <w:tab w:val="left" w:pos="352"/>
        </w:tabs>
        <w:spacing w:line="276" w:lineRule="auto"/>
        <w:ind w:firstLine="420" w:firstLineChars="200"/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  <w:t>罚款金额=百分值之和</w:t>
      </w:r>
      <w:r>
        <w:rPr>
          <w:rFonts w:hint="eastAsia" w:ascii="仿宋" w:hAnsi="仿宋" w:eastAsia="仿宋" w:cs="仿宋"/>
          <w:color w:val="000000"/>
          <w:spacing w:val="-3"/>
          <w:sz w:val="21"/>
          <w:szCs w:val="21"/>
        </w:rPr>
        <w:t>×</w:t>
      </w:r>
      <w:r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  <w:t>最高法定罚款上限 10万元，</w:t>
      </w:r>
      <w:r>
        <w:rPr>
          <w:rFonts w:hint="eastAsia" w:ascii="仿宋" w:hAnsi="仿宋" w:eastAsia="仿宋" w:cs="仿宋"/>
          <w:color w:val="000000"/>
          <w:kern w:val="2"/>
          <w:sz w:val="21"/>
          <w:lang w:val="en-US" w:eastAsia="zh-CN" w:bidi="ar-SA"/>
        </w:rPr>
        <w:t>罚款金额按“千”取整，不得低于法定限额</w:t>
      </w:r>
      <w:r>
        <w:rPr>
          <w:rFonts w:hint="eastAsia" w:ascii="仿宋" w:hAnsi="仿宋" w:eastAsia="仿宋" w:cs="仿宋"/>
          <w:color w:val="000000"/>
          <w:kern w:val="2"/>
          <w:sz w:val="21"/>
          <w:lang w:val="en-US" w:bidi="ar-SA"/>
        </w:rPr>
        <w:t>。</w:t>
      </w:r>
    </w:p>
    <w:p w14:paraId="1B66488E"/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ZjRiYmU0ODZjNDZhYWRkMmQ5MTNhYjEyZmFhOWQifQ=="/>
  </w:docVars>
  <w:rsids>
    <w:rsidRoot w:val="051E116E"/>
    <w:rsid w:val="051E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jc w:val="left"/>
      <w:outlineLvl w:val="2"/>
    </w:pPr>
    <w:rPr>
      <w:rFonts w:eastAsia="微软雅黑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spacing w:before="100" w:beforeAutospacing="1" w:after="0"/>
      <w:ind w:firstLine="420" w:firstLineChars="200"/>
    </w:pPr>
    <w:rPr>
      <w:rFonts w:cs="Calibri"/>
    </w:rPr>
  </w:style>
  <w:style w:type="paragraph" w:customStyle="1" w:styleId="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8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2025-03-11T07:07:00Z</dcterms:created>
  <dc:creator>123456</dc:creator>
  <cp:lastModifiedBy>123456</cp:lastModifiedBy>
  <dcterms:modified xsi:type="dcterms:W3CDTF">2025-03-11T07:07:26Z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5D2B382927004D2BA4B07748C58C2D4B_11</vt:lpwstr>
  </property>
</Properties>
</file>