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657B3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exact"/>
        <w:jc w:val="center"/>
        <w:textAlignment w:val="auto"/>
        <w:rPr>
          <w:rFonts w:hint="eastAsia"/>
          <w:color w:val="000000"/>
          <w:lang w:val="en-US" w:eastAsia="zh-CN"/>
        </w:rPr>
      </w:pPr>
      <w:r>
        <w:rPr>
          <w:rFonts w:hint="eastAsia"/>
          <w:color w:val="000000"/>
          <w:lang w:val="en-US" w:eastAsia="zh-CN"/>
        </w:rPr>
        <w:t>朔州市玉X</w:t>
      </w:r>
      <w:bookmarkStart w:id="0" w:name="_GoBack"/>
      <w:bookmarkEnd w:id="0"/>
      <w:r>
        <w:rPr>
          <w:rFonts w:hint="eastAsia"/>
          <w:color w:val="000000"/>
          <w:lang w:val="en-US" w:eastAsia="zh-CN"/>
        </w:rPr>
        <w:t>矿业有限公司</w:t>
      </w:r>
    </w:p>
    <w:p w14:paraId="0D24A5A2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exact"/>
        <w:jc w:val="center"/>
        <w:textAlignment w:val="auto"/>
        <w:rPr>
          <w:rFonts w:hint="eastAsia"/>
          <w:color w:val="000000"/>
          <w:lang w:val="en-US" w:eastAsia="zh-CN"/>
        </w:rPr>
      </w:pPr>
      <w:r>
        <w:rPr>
          <w:rFonts w:hint="eastAsia"/>
          <w:color w:val="000000"/>
          <w:lang w:val="en-US" w:eastAsia="zh-CN"/>
        </w:rPr>
        <w:t>违反控制、减少粉尘和气态污染物排放制度的罚款幅度裁定</w:t>
      </w:r>
    </w:p>
    <w:tbl>
      <w:tblPr>
        <w:tblStyle w:val="6"/>
        <w:tblW w:w="87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8"/>
        <w:gridCol w:w="1385"/>
        <w:gridCol w:w="1739"/>
        <w:gridCol w:w="673"/>
        <w:gridCol w:w="2506"/>
        <w:gridCol w:w="1149"/>
        <w:gridCol w:w="873"/>
      </w:tblGrid>
      <w:tr w14:paraId="3CCB98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tblHeader/>
        </w:trPr>
        <w:tc>
          <w:tcPr>
            <w:tcW w:w="468" w:type="dxa"/>
            <w:vMerge w:val="restart"/>
            <w:noWrap w:val="0"/>
            <w:vAlign w:val="center"/>
          </w:tcPr>
          <w:p w14:paraId="11EC0F78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eastAsia="en-US"/>
              </w:rPr>
              <w:t>序</w:t>
            </w:r>
          </w:p>
          <w:p w14:paraId="49232293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eastAsia="en-US"/>
              </w:rPr>
              <w:t>号</w:t>
            </w:r>
          </w:p>
        </w:tc>
        <w:tc>
          <w:tcPr>
            <w:tcW w:w="3797" w:type="dxa"/>
            <w:gridSpan w:val="3"/>
            <w:noWrap w:val="0"/>
            <w:vAlign w:val="center"/>
          </w:tcPr>
          <w:p w14:paraId="051781B9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eastAsia="en-US"/>
              </w:rPr>
              <w:t>裁量要素</w:t>
            </w:r>
          </w:p>
        </w:tc>
        <w:tc>
          <w:tcPr>
            <w:tcW w:w="3655" w:type="dxa"/>
            <w:gridSpan w:val="2"/>
            <w:noWrap w:val="0"/>
            <w:vAlign w:val="center"/>
          </w:tcPr>
          <w:p w14:paraId="580FC77E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t>判定标准</w:t>
            </w:r>
          </w:p>
        </w:tc>
        <w:tc>
          <w:tcPr>
            <w:tcW w:w="873" w:type="dxa"/>
            <w:vMerge w:val="restart"/>
            <w:noWrap w:val="0"/>
            <w:vAlign w:val="center"/>
          </w:tcPr>
          <w:p w14:paraId="5BB41FA0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zh-CN"/>
              </w:rPr>
              <w:t>决定</w:t>
            </w:r>
          </w:p>
        </w:tc>
      </w:tr>
      <w:tr w14:paraId="57D70B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4" w:hRule="exact"/>
          <w:tblHeader/>
        </w:trPr>
        <w:tc>
          <w:tcPr>
            <w:tcW w:w="468" w:type="dxa"/>
            <w:vMerge w:val="continue"/>
            <w:tcBorders>
              <w:top w:val="nil"/>
            </w:tcBorders>
            <w:noWrap w:val="0"/>
            <w:vAlign w:val="center"/>
          </w:tcPr>
          <w:p w14:paraId="3FD4E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408" w:firstLineChars="2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kern w:val="0"/>
                <w:sz w:val="21"/>
                <w:szCs w:val="21"/>
                <w:lang w:val="zh-CN" w:eastAsia="en-US" w:bidi="zh-CN"/>
              </w:rPr>
            </w:pPr>
          </w:p>
        </w:tc>
        <w:tc>
          <w:tcPr>
            <w:tcW w:w="1385" w:type="dxa"/>
            <w:noWrap w:val="0"/>
            <w:vAlign w:val="center"/>
          </w:tcPr>
          <w:p w14:paraId="409E0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kern w:val="0"/>
                <w:sz w:val="21"/>
                <w:szCs w:val="21"/>
                <w:lang w:val="zh-CN" w:eastAsia="en-US"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kern w:val="0"/>
                <w:sz w:val="21"/>
                <w:szCs w:val="21"/>
                <w:lang w:val="zh-CN" w:eastAsia="en-US" w:bidi="zh-CN"/>
              </w:rPr>
              <w:t>要素</w:t>
            </w:r>
          </w:p>
        </w:tc>
        <w:tc>
          <w:tcPr>
            <w:tcW w:w="1739" w:type="dxa"/>
            <w:noWrap w:val="0"/>
            <w:vAlign w:val="center"/>
          </w:tcPr>
          <w:p w14:paraId="6131266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t>具体条件</w:t>
            </w:r>
          </w:p>
        </w:tc>
        <w:tc>
          <w:tcPr>
            <w:tcW w:w="673" w:type="dxa"/>
            <w:noWrap w:val="0"/>
            <w:vAlign w:val="center"/>
          </w:tcPr>
          <w:p w14:paraId="44DC5B9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t>构成</w:t>
            </w: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t>比例</w:t>
            </w:r>
          </w:p>
        </w:tc>
        <w:tc>
          <w:tcPr>
            <w:tcW w:w="2506" w:type="dxa"/>
            <w:noWrap w:val="0"/>
            <w:vAlign w:val="center"/>
          </w:tcPr>
          <w:p w14:paraId="4F937BF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t>程度</w:t>
            </w:r>
          </w:p>
        </w:tc>
        <w:tc>
          <w:tcPr>
            <w:tcW w:w="1149" w:type="dxa"/>
            <w:noWrap w:val="0"/>
            <w:vAlign w:val="center"/>
          </w:tcPr>
          <w:p w14:paraId="1CDC3B1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t>百分值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2"/>
                <w:lang w:val="en-US" w:eastAsia="en-US" w:bidi="zh-CN"/>
              </w:rPr>
              <w:t>（X）</w:t>
            </w:r>
          </w:p>
        </w:tc>
        <w:tc>
          <w:tcPr>
            <w:tcW w:w="873" w:type="dxa"/>
            <w:vMerge w:val="continue"/>
            <w:noWrap w:val="0"/>
            <w:vAlign w:val="center"/>
          </w:tcPr>
          <w:p w14:paraId="0666684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</w:tr>
      <w:tr w14:paraId="6A394A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89" w:hRule="exact"/>
        </w:trPr>
        <w:tc>
          <w:tcPr>
            <w:tcW w:w="468" w:type="dxa"/>
            <w:vMerge w:val="restart"/>
            <w:noWrap w:val="0"/>
            <w:vAlign w:val="center"/>
          </w:tcPr>
          <w:p w14:paraId="7AA5CF5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2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2"/>
                <w:lang w:val="en-US" w:eastAsia="en-US"/>
              </w:rPr>
              <w:t>1</w:t>
            </w:r>
          </w:p>
        </w:tc>
        <w:tc>
          <w:tcPr>
            <w:tcW w:w="1385" w:type="dxa"/>
            <w:vMerge w:val="restart"/>
            <w:noWrap w:val="0"/>
            <w:vAlign w:val="center"/>
          </w:tcPr>
          <w:p w14:paraId="7CCDA11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2"/>
                <w:lang w:val="en-US" w:eastAsia="zh-CN"/>
              </w:rPr>
              <w:t>违法事实情节</w:t>
            </w:r>
          </w:p>
        </w:tc>
        <w:tc>
          <w:tcPr>
            <w:tcW w:w="1739" w:type="dxa"/>
            <w:noWrap w:val="0"/>
            <w:vAlign w:val="center"/>
          </w:tcPr>
          <w:p w14:paraId="04DDF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违法行为类型</w:t>
            </w:r>
          </w:p>
        </w:tc>
        <w:tc>
          <w:tcPr>
            <w:tcW w:w="673" w:type="dxa"/>
            <w:noWrap w:val="0"/>
            <w:vAlign w:val="center"/>
          </w:tcPr>
          <w:p w14:paraId="5C513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20%</w:t>
            </w:r>
          </w:p>
        </w:tc>
        <w:tc>
          <w:tcPr>
            <w:tcW w:w="2506" w:type="dxa"/>
            <w:noWrap w:val="0"/>
            <w:vAlign w:val="center"/>
          </w:tcPr>
          <w:p w14:paraId="67918CB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zh-CN" w:bidi="zh-CN"/>
              </w:rPr>
              <w:t>应集中收集处理、密闭的</w:t>
            </w:r>
          </w:p>
        </w:tc>
        <w:tc>
          <w:tcPr>
            <w:tcW w:w="1149" w:type="dxa"/>
            <w:noWrap w:val="0"/>
            <w:vAlign w:val="center"/>
          </w:tcPr>
          <w:p w14:paraId="0EA10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15%＜X≤20%</w:t>
            </w:r>
          </w:p>
        </w:tc>
        <w:tc>
          <w:tcPr>
            <w:tcW w:w="873" w:type="dxa"/>
            <w:noWrap w:val="0"/>
            <w:vAlign w:val="center"/>
          </w:tcPr>
          <w:p w14:paraId="1D0D5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17%</w:t>
            </w:r>
          </w:p>
        </w:tc>
      </w:tr>
      <w:tr w14:paraId="770208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</w:trPr>
        <w:tc>
          <w:tcPr>
            <w:tcW w:w="468" w:type="dxa"/>
            <w:vMerge w:val="continue"/>
            <w:noWrap w:val="0"/>
            <w:vAlign w:val="center"/>
          </w:tcPr>
          <w:p w14:paraId="00D41587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1385" w:type="dxa"/>
            <w:vMerge w:val="continue"/>
            <w:noWrap w:val="0"/>
            <w:vAlign w:val="center"/>
          </w:tcPr>
          <w:p w14:paraId="098B323F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1739" w:type="dxa"/>
            <w:noWrap w:val="0"/>
            <w:vAlign w:val="center"/>
          </w:tcPr>
          <w:p w14:paraId="523FD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  <w:t>排污去向</w:t>
            </w:r>
          </w:p>
        </w:tc>
        <w:tc>
          <w:tcPr>
            <w:tcW w:w="673" w:type="dxa"/>
            <w:noWrap w:val="0"/>
            <w:vAlign w:val="center"/>
          </w:tcPr>
          <w:p w14:paraId="20ECB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10%</w:t>
            </w:r>
          </w:p>
        </w:tc>
        <w:tc>
          <w:tcPr>
            <w:tcW w:w="2506" w:type="dxa"/>
            <w:noWrap w:val="0"/>
            <w:vAlign w:val="center"/>
          </w:tcPr>
          <w:p w14:paraId="01A2907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zh-CN" w:bidi="zh-CN"/>
              </w:rPr>
              <w:t>位于山阴县安荣乡西沟村西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zh-CN" w:bidi="zh-CN"/>
              </w:rPr>
              <w:t>的其他区域</w:t>
            </w:r>
          </w:p>
        </w:tc>
        <w:tc>
          <w:tcPr>
            <w:tcW w:w="1149" w:type="dxa"/>
            <w:noWrap w:val="0"/>
            <w:vAlign w:val="center"/>
          </w:tcPr>
          <w:p w14:paraId="480D1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en-US" w:bidi="zh-CN"/>
              </w:rPr>
              <w:t>1%</w:t>
            </w:r>
            <w:r>
              <w:rPr>
                <w:rFonts w:hint="eastAsia" w:ascii="仿宋" w:hAnsi="仿宋" w:eastAsia="仿宋" w:cs="仿宋"/>
                <w:color w:val="000000"/>
                <w:lang w:eastAsia="en-US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en-US" w:bidi="zh-CN"/>
              </w:rPr>
              <w:t>X≤5%</w:t>
            </w:r>
          </w:p>
        </w:tc>
        <w:tc>
          <w:tcPr>
            <w:tcW w:w="873" w:type="dxa"/>
            <w:noWrap w:val="0"/>
            <w:vAlign w:val="center"/>
          </w:tcPr>
          <w:p w14:paraId="195D8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lang w:eastAsia="en-US"/>
              </w:rPr>
              <w:t>%</w:t>
            </w:r>
          </w:p>
        </w:tc>
      </w:tr>
      <w:tr w14:paraId="4F775F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7" w:hRule="exact"/>
        </w:trPr>
        <w:tc>
          <w:tcPr>
            <w:tcW w:w="468" w:type="dxa"/>
            <w:vMerge w:val="continue"/>
            <w:noWrap w:val="0"/>
            <w:vAlign w:val="center"/>
          </w:tcPr>
          <w:p w14:paraId="39339DFD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1385" w:type="dxa"/>
            <w:vMerge w:val="continue"/>
            <w:noWrap w:val="0"/>
            <w:vAlign w:val="center"/>
          </w:tcPr>
          <w:p w14:paraId="43DAB316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1739" w:type="dxa"/>
            <w:noWrap w:val="0"/>
            <w:vAlign w:val="center"/>
          </w:tcPr>
          <w:p w14:paraId="7935938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  <w:t>废气类别</w:t>
            </w:r>
          </w:p>
        </w:tc>
        <w:tc>
          <w:tcPr>
            <w:tcW w:w="673" w:type="dxa"/>
            <w:noWrap w:val="0"/>
            <w:vAlign w:val="center"/>
          </w:tcPr>
          <w:p w14:paraId="615F1E0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en-US" w:bidi="ar-SA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en-US" w:bidi="ar-SA"/>
              </w:rPr>
              <w:t>%</w:t>
            </w:r>
          </w:p>
        </w:tc>
        <w:tc>
          <w:tcPr>
            <w:tcW w:w="2506" w:type="dxa"/>
            <w:noWrap w:val="0"/>
            <w:vAlign w:val="center"/>
          </w:tcPr>
          <w:p w14:paraId="3B3F44E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  <w:t>工业废气（含粉尘）</w:t>
            </w:r>
          </w:p>
          <w:p w14:paraId="3216F0F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</w:p>
        </w:tc>
        <w:tc>
          <w:tcPr>
            <w:tcW w:w="1149" w:type="dxa"/>
            <w:noWrap w:val="0"/>
            <w:vAlign w:val="center"/>
          </w:tcPr>
          <w:p w14:paraId="27878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en-US" w:bidi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en-US" w:bidi="zh-CN"/>
              </w:rPr>
              <w:t>%</w:t>
            </w:r>
            <w:r>
              <w:rPr>
                <w:rFonts w:hint="eastAsia" w:ascii="仿宋" w:hAnsi="仿宋" w:eastAsia="仿宋" w:cs="仿宋"/>
                <w:color w:val="000000"/>
                <w:lang w:eastAsia="en-US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en-US" w:bidi="zh-CN"/>
              </w:rPr>
              <w:t>X≤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en-US" w:bidi="zh-CN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en-US" w:bidi="zh-CN"/>
              </w:rPr>
              <w:t>%</w:t>
            </w:r>
          </w:p>
        </w:tc>
        <w:tc>
          <w:tcPr>
            <w:tcW w:w="873" w:type="dxa"/>
            <w:noWrap w:val="0"/>
            <w:vAlign w:val="center"/>
          </w:tcPr>
          <w:p w14:paraId="2D75E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lang w:eastAsia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 w:val="0"/>
                <w:bCs w:val="0"/>
                <w:lang w:eastAsia="en-US"/>
              </w:rPr>
              <w:t>%</w:t>
            </w:r>
          </w:p>
        </w:tc>
      </w:tr>
      <w:tr w14:paraId="0A670A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2" w:hRule="exact"/>
        </w:trPr>
        <w:tc>
          <w:tcPr>
            <w:tcW w:w="468" w:type="dxa"/>
            <w:vMerge w:val="continue"/>
            <w:noWrap w:val="0"/>
            <w:vAlign w:val="center"/>
          </w:tcPr>
          <w:p w14:paraId="399EAAE3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1385" w:type="dxa"/>
            <w:vMerge w:val="continue"/>
            <w:noWrap w:val="0"/>
            <w:vAlign w:val="center"/>
          </w:tcPr>
          <w:p w14:paraId="19BFC5D7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1739" w:type="dxa"/>
            <w:noWrap w:val="0"/>
            <w:vAlign w:val="center"/>
          </w:tcPr>
          <w:p w14:paraId="04CBE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违法行为持续时间</w:t>
            </w:r>
          </w:p>
        </w:tc>
        <w:tc>
          <w:tcPr>
            <w:tcW w:w="673" w:type="dxa"/>
            <w:noWrap w:val="0"/>
            <w:vAlign w:val="center"/>
          </w:tcPr>
          <w:p w14:paraId="1C722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0%</w:t>
            </w:r>
          </w:p>
        </w:tc>
        <w:tc>
          <w:tcPr>
            <w:tcW w:w="2506" w:type="dxa"/>
            <w:noWrap w:val="0"/>
            <w:vAlign w:val="center"/>
          </w:tcPr>
          <w:p w14:paraId="1150C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zh-CN" w:bidi="zh-CN"/>
              </w:rPr>
              <w:t>3个月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zh-CN" w:bidi="zh-CN"/>
              </w:rPr>
              <w:t>以上</w:t>
            </w:r>
          </w:p>
        </w:tc>
        <w:tc>
          <w:tcPr>
            <w:tcW w:w="1149" w:type="dxa"/>
            <w:noWrap w:val="0"/>
            <w:vAlign w:val="center"/>
          </w:tcPr>
          <w:p w14:paraId="1B4D5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position w:val="1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pacing w:val="-2"/>
                <w:kern w:val="0"/>
                <w:position w:val="1"/>
                <w:sz w:val="21"/>
                <w:szCs w:val="21"/>
                <w:lang w:val="en-US" w:eastAsia="zh-CN" w:bidi="zh-CN"/>
              </w:rPr>
              <w:t>10%</w:t>
            </w:r>
          </w:p>
        </w:tc>
        <w:tc>
          <w:tcPr>
            <w:tcW w:w="873" w:type="dxa"/>
            <w:noWrap w:val="0"/>
            <w:vAlign w:val="center"/>
          </w:tcPr>
          <w:p w14:paraId="278B5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en-US" w:bidi="zh-CN"/>
              </w:rPr>
              <w:t>10%</w:t>
            </w:r>
          </w:p>
        </w:tc>
      </w:tr>
      <w:tr w14:paraId="118110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468" w:type="dxa"/>
            <w:vMerge w:val="continue"/>
            <w:noWrap w:val="0"/>
            <w:vAlign w:val="center"/>
          </w:tcPr>
          <w:p w14:paraId="70ED3C3C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1385" w:type="dxa"/>
            <w:vMerge w:val="continue"/>
            <w:noWrap w:val="0"/>
            <w:vAlign w:val="center"/>
          </w:tcPr>
          <w:p w14:paraId="468BFC07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1739" w:type="dxa"/>
            <w:noWrap w:val="0"/>
            <w:vAlign w:val="center"/>
          </w:tcPr>
          <w:p w14:paraId="1FA25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两年内违反次数</w:t>
            </w:r>
          </w:p>
        </w:tc>
        <w:tc>
          <w:tcPr>
            <w:tcW w:w="673" w:type="dxa"/>
            <w:noWrap w:val="0"/>
            <w:vAlign w:val="center"/>
          </w:tcPr>
          <w:p w14:paraId="70CC5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  <w:t>10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%</w:t>
            </w:r>
          </w:p>
        </w:tc>
        <w:tc>
          <w:tcPr>
            <w:tcW w:w="2506" w:type="dxa"/>
            <w:noWrap w:val="0"/>
            <w:vAlign w:val="center"/>
          </w:tcPr>
          <w:p w14:paraId="59DF5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  <w:t>0次</w:t>
            </w:r>
          </w:p>
        </w:tc>
        <w:tc>
          <w:tcPr>
            <w:tcW w:w="1149" w:type="dxa"/>
            <w:noWrap w:val="0"/>
            <w:vAlign w:val="center"/>
          </w:tcPr>
          <w:p w14:paraId="73BCB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en-US" w:bidi="zh-CN"/>
              </w:rPr>
              <w:t xml:space="preserve">0 </w:t>
            </w:r>
          </w:p>
        </w:tc>
        <w:tc>
          <w:tcPr>
            <w:tcW w:w="873" w:type="dxa"/>
            <w:noWrap w:val="0"/>
            <w:vAlign w:val="center"/>
          </w:tcPr>
          <w:p w14:paraId="7E353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en-US" w:bidi="zh-CN"/>
              </w:rPr>
              <w:t>0%</w:t>
            </w:r>
          </w:p>
        </w:tc>
      </w:tr>
      <w:tr w14:paraId="518B19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4" w:hRule="exact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70B4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2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2"/>
                <w:lang w:val="en-US" w:eastAsia="en-US"/>
              </w:rPr>
              <w:t>2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B4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en-US" w:eastAsia="en-US" w:bidi="zh-CN"/>
              </w:rPr>
              <w:t>整改情况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C6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 xml:space="preserve">是否停止违法 </w:t>
            </w:r>
          </w:p>
          <w:p w14:paraId="066AA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并进行改正</w:t>
            </w:r>
          </w:p>
          <w:p w14:paraId="09C86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11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0%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C0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  <w:t>已停止违法，未进行改正</w:t>
            </w:r>
          </w:p>
        </w:tc>
        <w:tc>
          <w:tcPr>
            <w:tcW w:w="1149" w:type="dxa"/>
            <w:tcBorders>
              <w:left w:val="single" w:color="auto" w:sz="4" w:space="0"/>
            </w:tcBorders>
            <w:noWrap w:val="0"/>
            <w:vAlign w:val="center"/>
          </w:tcPr>
          <w:p w14:paraId="11A1C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  <w:t>3%≤X≤9%</w:t>
            </w:r>
          </w:p>
        </w:tc>
        <w:tc>
          <w:tcPr>
            <w:tcW w:w="873" w:type="dxa"/>
            <w:tcBorders>
              <w:left w:val="single" w:color="auto" w:sz="4" w:space="0"/>
            </w:tcBorders>
            <w:noWrap w:val="0"/>
            <w:vAlign w:val="center"/>
          </w:tcPr>
          <w:p w14:paraId="06672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  <w:t>4%</w:t>
            </w:r>
          </w:p>
        </w:tc>
      </w:tr>
      <w:tr w14:paraId="7BBE4A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4" w:hRule="exact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8146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lang w:val="en-US" w:eastAsia="en-US"/>
              </w:rPr>
              <w:t>3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4B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en-US" w:eastAsia="en-US" w:bidi="zh-CN"/>
              </w:rPr>
              <w:t>社会影响和生态破坏程度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1F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一次有效投诉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72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20%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BC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  <w:t>轻微（1级）</w:t>
            </w:r>
          </w:p>
        </w:tc>
        <w:tc>
          <w:tcPr>
            <w:tcW w:w="1149" w:type="dxa"/>
            <w:tcBorders>
              <w:left w:val="single" w:color="auto" w:sz="4" w:space="0"/>
            </w:tcBorders>
            <w:noWrap w:val="0"/>
            <w:vAlign w:val="center"/>
          </w:tcPr>
          <w:p w14:paraId="57B72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  <w:t>1%≤X≤5%</w:t>
            </w:r>
          </w:p>
        </w:tc>
        <w:tc>
          <w:tcPr>
            <w:tcW w:w="873" w:type="dxa"/>
            <w:tcBorders>
              <w:left w:val="single" w:color="auto" w:sz="4" w:space="0"/>
            </w:tcBorders>
            <w:noWrap w:val="0"/>
            <w:vAlign w:val="center"/>
          </w:tcPr>
          <w:p w14:paraId="2EEE8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  <w:t>2%</w:t>
            </w:r>
          </w:p>
        </w:tc>
      </w:tr>
      <w:tr w14:paraId="3866EE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9" w:hRule="exact"/>
        </w:trPr>
        <w:tc>
          <w:tcPr>
            <w:tcW w:w="46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F7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lang w:eastAsia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en-US" w:eastAsia="zh-CN" w:bidi="zh-CN"/>
              </w:rPr>
              <w:t>4</w:t>
            </w:r>
          </w:p>
        </w:tc>
        <w:tc>
          <w:tcPr>
            <w:tcW w:w="138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04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zh-CN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zh-CN" w:eastAsia="zh-CN" w:bidi="zh-CN"/>
              </w:rPr>
              <w:t>经济承受度</w:t>
            </w:r>
          </w:p>
        </w:tc>
        <w:tc>
          <w:tcPr>
            <w:tcW w:w="173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DD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从业人员10人</w:t>
            </w:r>
          </w:p>
        </w:tc>
        <w:tc>
          <w:tcPr>
            <w:tcW w:w="67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CE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5%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F9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en-US" w:bidi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en-US" w:bidi="zh-CN"/>
              </w:rPr>
              <w:t>小型企事业单位</w:t>
            </w:r>
          </w:p>
          <w:p w14:paraId="5B9EA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en-US" w:bidi="zh-CN"/>
              </w:rPr>
              <w:t>（涉公益单位）</w:t>
            </w:r>
          </w:p>
        </w:tc>
        <w:tc>
          <w:tcPr>
            <w:tcW w:w="1149" w:type="dxa"/>
            <w:tcBorders>
              <w:left w:val="single" w:color="auto" w:sz="4" w:space="0"/>
            </w:tcBorders>
            <w:noWrap w:val="0"/>
            <w:vAlign w:val="center"/>
          </w:tcPr>
          <w:p w14:paraId="3B3B3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"/>
                <w:kern w:val="0"/>
                <w:position w:val="1"/>
                <w:sz w:val="21"/>
                <w:lang w:eastAsia="en-US" w:bidi="zh-CN"/>
              </w:rPr>
              <w:t>－3%≤X＜0</w:t>
            </w:r>
          </w:p>
        </w:tc>
        <w:tc>
          <w:tcPr>
            <w:tcW w:w="873" w:type="dxa"/>
            <w:tcBorders>
              <w:left w:val="single" w:color="auto" w:sz="4" w:space="0"/>
            </w:tcBorders>
            <w:noWrap w:val="0"/>
            <w:vAlign w:val="center"/>
          </w:tcPr>
          <w:p w14:paraId="16542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-2%</w:t>
            </w:r>
          </w:p>
        </w:tc>
      </w:tr>
      <w:tr w14:paraId="36B041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27" w:hRule="exact"/>
        </w:trPr>
        <w:tc>
          <w:tcPr>
            <w:tcW w:w="46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61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lang w:eastAsia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en-US" w:eastAsia="zh-CN" w:bidi="zh-CN"/>
              </w:rPr>
              <w:t>5</w:t>
            </w:r>
          </w:p>
        </w:tc>
        <w:tc>
          <w:tcPr>
            <w:tcW w:w="138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FD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zh-CN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zh-CN" w:eastAsia="zh-CN" w:bidi="zh-CN"/>
              </w:rPr>
              <w:t>地区差异</w:t>
            </w:r>
          </w:p>
        </w:tc>
        <w:tc>
          <w:tcPr>
            <w:tcW w:w="173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9C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zh-CN" w:eastAsia="en-US" w:bidi="zh-CN"/>
              </w:rPr>
              <w:t>经济社会发展程度及环境容量的大小</w:t>
            </w:r>
          </w:p>
        </w:tc>
        <w:tc>
          <w:tcPr>
            <w:tcW w:w="67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00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5%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5C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  <w:t>各地级市可以结合实际自行确定地区差异，裁量比例数值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zh-CN" w:eastAsia="en-US" w:bidi="zh-CN"/>
              </w:rPr>
              <w:t>（加减５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  <w:t>%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zh-CN" w:eastAsia="en-US" w:bidi="zh-CN"/>
              </w:rPr>
              <w:t>）</w:t>
            </w:r>
          </w:p>
        </w:tc>
        <w:tc>
          <w:tcPr>
            <w:tcW w:w="1149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4DFB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－5%≤X≤5%</w:t>
            </w:r>
          </w:p>
        </w:tc>
        <w:tc>
          <w:tcPr>
            <w:tcW w:w="873" w:type="dxa"/>
            <w:tcBorders>
              <w:left w:val="single" w:color="auto" w:sz="4" w:space="0"/>
            </w:tcBorders>
            <w:noWrap w:val="0"/>
            <w:vAlign w:val="center"/>
          </w:tcPr>
          <w:p w14:paraId="46E1E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0%</w:t>
            </w:r>
          </w:p>
        </w:tc>
      </w:tr>
      <w:tr w14:paraId="6C87A1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2" w:hRule="exact"/>
        </w:trPr>
        <w:tc>
          <w:tcPr>
            <w:tcW w:w="7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7B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8"/>
                <w:szCs w:val="28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8"/>
                <w:szCs w:val="28"/>
                <w:lang w:val="en-US" w:eastAsia="en-US" w:bidi="zh-CN"/>
              </w:rPr>
              <w:t>合  计</w:t>
            </w:r>
          </w:p>
        </w:tc>
        <w:tc>
          <w:tcPr>
            <w:tcW w:w="873" w:type="dxa"/>
            <w:tcBorders>
              <w:left w:val="single" w:color="auto" w:sz="4" w:space="0"/>
            </w:tcBorders>
            <w:noWrap w:val="0"/>
            <w:vAlign w:val="center"/>
          </w:tcPr>
          <w:p w14:paraId="0040B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37%</w:t>
            </w:r>
          </w:p>
        </w:tc>
      </w:tr>
    </w:tbl>
    <w:p w14:paraId="76A32C54">
      <w:pPr>
        <w:pStyle w:val="5"/>
        <w:keepNext w:val="0"/>
        <w:keepLines w:val="0"/>
        <w:pageBreakBefore w:val="0"/>
        <w:widowControl w:val="0"/>
        <w:tabs>
          <w:tab w:val="left" w:pos="35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firstLine="408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pacing w:val="-3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-3"/>
          <w:sz w:val="21"/>
          <w:szCs w:val="21"/>
          <w:lang w:val="en-US" w:eastAsia="zh-CN"/>
        </w:rPr>
        <w:t xml:space="preserve">计算方法 </w:t>
      </w:r>
    </w:p>
    <w:p w14:paraId="311C2C57">
      <w:pPr>
        <w:pStyle w:val="5"/>
        <w:keepNext w:val="0"/>
        <w:keepLines w:val="0"/>
        <w:pageBreakBefore w:val="0"/>
        <w:widowControl w:val="0"/>
        <w:tabs>
          <w:tab w:val="left" w:pos="35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firstLine="408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pacing w:val="-3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-3"/>
          <w:sz w:val="21"/>
          <w:szCs w:val="21"/>
          <w:lang w:val="en-US" w:eastAsia="zh-CN"/>
        </w:rPr>
        <w:t xml:space="preserve">本裁量表格计算方法： </w:t>
      </w:r>
    </w:p>
    <w:p w14:paraId="18DDDE7B">
      <w:pPr>
        <w:pStyle w:val="5"/>
        <w:keepNext w:val="0"/>
        <w:keepLines w:val="0"/>
        <w:pageBreakBefore w:val="0"/>
        <w:widowControl w:val="0"/>
        <w:tabs>
          <w:tab w:val="left" w:pos="35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firstLine="408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pacing w:val="-3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-3"/>
          <w:sz w:val="21"/>
          <w:szCs w:val="21"/>
          <w:lang w:val="en-US" w:eastAsia="zh-CN"/>
        </w:rPr>
        <w:t xml:space="preserve">罚款金额=百分值之和×最高法定罚款上限 20万元，罚款金额按“千”取整，不得低于法 </w:t>
      </w:r>
    </w:p>
    <w:p w14:paraId="4644A73F">
      <w:pPr>
        <w:pStyle w:val="5"/>
        <w:keepNext w:val="0"/>
        <w:keepLines w:val="0"/>
        <w:pageBreakBefore w:val="0"/>
        <w:widowControl w:val="0"/>
        <w:tabs>
          <w:tab w:val="left" w:pos="35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firstLine="408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-3"/>
          <w:sz w:val="21"/>
          <w:szCs w:val="21"/>
          <w:lang w:val="en-US" w:eastAsia="zh-CN"/>
        </w:rPr>
        <w:t>定限额。</w:t>
      </w:r>
    </w:p>
    <w:p w14:paraId="2B65C928">
      <w:pPr>
        <w:pStyle w:val="5"/>
        <w:keepNext w:val="0"/>
        <w:keepLines w:val="0"/>
        <w:pageBreakBefore w:val="0"/>
        <w:widowControl w:val="0"/>
        <w:tabs>
          <w:tab w:val="left" w:pos="35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b/>
          <w:bCs/>
          <w:color w:val="000000"/>
          <w:spacing w:val="-3"/>
          <w:sz w:val="21"/>
          <w:szCs w:val="21"/>
          <w:lang w:val="en-US" w:eastAsia="zh-CN"/>
        </w:rPr>
      </w:pPr>
    </w:p>
    <w:p w14:paraId="7DFDE95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CF264E"/>
    <w:rsid w:val="3ACF2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jc w:val="left"/>
      <w:outlineLvl w:val="2"/>
    </w:pPr>
    <w:rPr>
      <w:rFonts w:eastAsia="微软雅黑"/>
      <w:b/>
      <w:sz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val="zh-CN" w:bidi="zh-CN"/>
    </w:rPr>
  </w:style>
  <w:style w:type="table" w:customStyle="1" w:styleId="6">
    <w:name w:val="Table Normal"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2025-07-18T09:50:00Z</dcterms:created>
  <dc:creator>WPS_1602127366</dc:creator>
  <cp:lastModifiedBy>WPS_1602127366</cp:lastModifiedBy>
  <dcterms:modified xsi:type="dcterms:W3CDTF">2025-07-18T09:51:20Z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0DCA1793AF584478BE55391B9F48B8E2_11</vt:lpwstr>
  </property>
  <property fmtid="{D5CDD505-2E9C-101B-9397-08002B2CF9AE}" pid="4" name="KSOTemplateDocerSaveRecord">
    <vt:lpwstr>eyJoZGlkIjoiN2QzZjRiYmU0ODZjNDZhYWRkMmQ5MTNhYjEyZmFhOWQiLCJ1c2VySWQiOiIxMTI4NDI0NzcyIn0=</vt:lpwstr>
  </property>
</Properties>
</file>