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8A11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Lines="5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/>
          <w:color w:val="000000"/>
          <w:lang w:val="en-US" w:eastAsia="zh-CN"/>
        </w:rPr>
        <w:t>张X</w:t>
      </w:r>
      <w:bookmarkStart w:id="0" w:name="_GoBack"/>
      <w:bookmarkEnd w:id="0"/>
      <w:r>
        <w:rPr>
          <w:rFonts w:hint="eastAsia"/>
          <w:color w:val="000000"/>
        </w:rPr>
        <w:t>未密闭易产生扬尘物料的罚款幅度裁定</w:t>
      </w:r>
    </w:p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85"/>
        <w:gridCol w:w="1739"/>
        <w:gridCol w:w="673"/>
        <w:gridCol w:w="2506"/>
        <w:gridCol w:w="1380"/>
        <w:gridCol w:w="642"/>
      </w:tblGrid>
      <w:tr w14:paraId="23BED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2E1AC4D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3DD5A36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1152221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886" w:type="dxa"/>
            <w:gridSpan w:val="2"/>
            <w:noWrap w:val="0"/>
            <w:vAlign w:val="center"/>
          </w:tcPr>
          <w:p w14:paraId="60C0D8D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 w14:paraId="6A198DF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69A7A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7074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C1DF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39" w:type="dxa"/>
            <w:noWrap w:val="0"/>
            <w:vAlign w:val="center"/>
          </w:tcPr>
          <w:p w14:paraId="3F16D4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51EC14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12D643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380" w:type="dxa"/>
            <w:noWrap w:val="0"/>
            <w:vAlign w:val="center"/>
          </w:tcPr>
          <w:p w14:paraId="7CAAF6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 w14:paraId="1145CC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241BF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exact"/>
        </w:trPr>
        <w:tc>
          <w:tcPr>
            <w:tcW w:w="468" w:type="dxa"/>
            <w:vMerge w:val="restart"/>
            <w:noWrap w:val="0"/>
            <w:vAlign w:val="center"/>
          </w:tcPr>
          <w:p w14:paraId="4AEB8C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71EB72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39" w:type="dxa"/>
            <w:noWrap w:val="0"/>
            <w:vAlign w:val="center"/>
          </w:tcPr>
          <w:p w14:paraId="1B7AD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煤炭类包含煤泥</w:t>
            </w:r>
          </w:p>
        </w:tc>
        <w:tc>
          <w:tcPr>
            <w:tcW w:w="673" w:type="dxa"/>
            <w:noWrap w:val="0"/>
            <w:vAlign w:val="center"/>
          </w:tcPr>
          <w:p w14:paraId="7FD59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</w:t>
            </w:r>
          </w:p>
        </w:tc>
        <w:tc>
          <w:tcPr>
            <w:tcW w:w="2506" w:type="dxa"/>
            <w:noWrap w:val="0"/>
            <w:vAlign w:val="center"/>
          </w:tcPr>
          <w:p w14:paraId="365343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煤炭、煤矸石、煤渣、煤灰</w:t>
            </w:r>
          </w:p>
        </w:tc>
        <w:tc>
          <w:tcPr>
            <w:tcW w:w="1380" w:type="dxa"/>
            <w:noWrap w:val="0"/>
            <w:vAlign w:val="center"/>
          </w:tcPr>
          <w:p w14:paraId="68FA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10%＜X≤15%</w:t>
            </w:r>
          </w:p>
        </w:tc>
        <w:tc>
          <w:tcPr>
            <w:tcW w:w="642" w:type="dxa"/>
            <w:noWrap w:val="0"/>
            <w:vAlign w:val="center"/>
          </w:tcPr>
          <w:p w14:paraId="571A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12%</w:t>
            </w:r>
          </w:p>
        </w:tc>
      </w:tr>
      <w:tr w14:paraId="4D63E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468" w:type="dxa"/>
            <w:vMerge w:val="continue"/>
            <w:noWrap w:val="0"/>
            <w:vAlign w:val="center"/>
          </w:tcPr>
          <w:p w14:paraId="5A5CF45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6D700A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0506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位于北周庄镇其他地区</w:t>
            </w:r>
          </w:p>
        </w:tc>
        <w:tc>
          <w:tcPr>
            <w:tcW w:w="673" w:type="dxa"/>
            <w:noWrap w:val="0"/>
            <w:vAlign w:val="center"/>
          </w:tcPr>
          <w:p w14:paraId="1351D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112041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其他地区</w:t>
            </w:r>
          </w:p>
        </w:tc>
        <w:tc>
          <w:tcPr>
            <w:tcW w:w="1380" w:type="dxa"/>
            <w:noWrap w:val="0"/>
            <w:vAlign w:val="center"/>
          </w:tcPr>
          <w:p w14:paraId="452F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642" w:type="dxa"/>
            <w:noWrap w:val="0"/>
            <w:vAlign w:val="center"/>
          </w:tcPr>
          <w:p w14:paraId="654A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60361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507556C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DF72BE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F0EB6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物料储量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2500吨</w:t>
            </w:r>
          </w:p>
        </w:tc>
        <w:tc>
          <w:tcPr>
            <w:tcW w:w="673" w:type="dxa"/>
            <w:noWrap w:val="0"/>
            <w:vAlign w:val="center"/>
          </w:tcPr>
          <w:p w14:paraId="5D75C3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15%</w:t>
            </w:r>
          </w:p>
        </w:tc>
        <w:tc>
          <w:tcPr>
            <w:tcW w:w="2506" w:type="dxa"/>
            <w:noWrap w:val="0"/>
            <w:vAlign w:val="center"/>
          </w:tcPr>
          <w:p w14:paraId="0C0D53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200吨以上的</w:t>
            </w:r>
          </w:p>
        </w:tc>
        <w:tc>
          <w:tcPr>
            <w:tcW w:w="1380" w:type="dxa"/>
            <w:noWrap w:val="0"/>
            <w:vAlign w:val="center"/>
          </w:tcPr>
          <w:p w14:paraId="4AC9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10%＜X≤15%</w:t>
            </w:r>
          </w:p>
        </w:tc>
        <w:tc>
          <w:tcPr>
            <w:tcW w:w="642" w:type="dxa"/>
            <w:noWrap w:val="0"/>
            <w:vAlign w:val="center"/>
          </w:tcPr>
          <w:p w14:paraId="35F49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5CBAE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exact"/>
        </w:trPr>
        <w:tc>
          <w:tcPr>
            <w:tcW w:w="468" w:type="dxa"/>
            <w:vMerge w:val="continue"/>
            <w:noWrap w:val="0"/>
            <w:vAlign w:val="center"/>
          </w:tcPr>
          <w:p w14:paraId="366E5D4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834996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4516D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违法行为持续时间22天</w:t>
            </w:r>
          </w:p>
        </w:tc>
        <w:tc>
          <w:tcPr>
            <w:tcW w:w="673" w:type="dxa"/>
            <w:noWrap w:val="0"/>
            <w:vAlign w:val="center"/>
          </w:tcPr>
          <w:p w14:paraId="311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1738E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4"/>
                <w:lang w:val="en-US" w:eastAsia="zh-CN"/>
              </w:rPr>
              <w:t>不足1个月</w:t>
            </w:r>
          </w:p>
        </w:tc>
        <w:tc>
          <w:tcPr>
            <w:tcW w:w="1380" w:type="dxa"/>
            <w:noWrap w:val="0"/>
            <w:vAlign w:val="center"/>
          </w:tcPr>
          <w:p w14:paraId="2CE0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3%≤X≤5%</w:t>
            </w:r>
          </w:p>
        </w:tc>
        <w:tc>
          <w:tcPr>
            <w:tcW w:w="642" w:type="dxa"/>
            <w:noWrap w:val="0"/>
            <w:vAlign w:val="center"/>
          </w:tcPr>
          <w:p w14:paraId="46F24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4%</w:t>
            </w:r>
          </w:p>
        </w:tc>
      </w:tr>
      <w:tr w14:paraId="5B122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7FBCCCE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3B495B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1AB5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10F8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2686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380" w:type="dxa"/>
            <w:noWrap w:val="0"/>
            <w:vAlign w:val="center"/>
          </w:tcPr>
          <w:p w14:paraId="0B3DB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  <w:tc>
          <w:tcPr>
            <w:tcW w:w="642" w:type="dxa"/>
            <w:noWrap w:val="0"/>
            <w:vAlign w:val="center"/>
          </w:tcPr>
          <w:p w14:paraId="4F60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2415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9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94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1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2025年4月15日现场检查与2025年4月7日初步审查时物料堆存量一致，煤泥未进行清理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B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1862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33AA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5%</w:t>
            </w:r>
          </w:p>
        </w:tc>
      </w:tr>
      <w:tr w14:paraId="5BA42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29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F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7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未收集到相关证据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2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1AC8F2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26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333B8A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6E676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9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5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自然人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自然人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3F2F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val="en-US" w:eastAsia="en-US" w:bidi="zh-CN"/>
              </w:rPr>
              <w:t>-5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%≤X＜－3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val="en-US" w:eastAsia="en-US" w:bidi="zh-CN"/>
              </w:rPr>
              <w:t>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38E7F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-4%</w:t>
            </w:r>
          </w:p>
        </w:tc>
      </w:tr>
      <w:tr w14:paraId="73665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7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B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7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E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012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20C98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0D0F7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1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2B608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31%</w:t>
            </w:r>
          </w:p>
        </w:tc>
      </w:tr>
    </w:tbl>
    <w:p w14:paraId="060F279B">
      <w:pPr>
        <w:pStyle w:val="5"/>
        <w:tabs>
          <w:tab w:val="left" w:pos="352"/>
        </w:tabs>
        <w:spacing w:line="317" w:lineRule="exact"/>
        <w:ind w:firstLine="410" w:firstLineChars="200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/>
        </w:rPr>
      </w:pPr>
    </w:p>
    <w:p w14:paraId="3D743A5D">
      <w:pPr>
        <w:pStyle w:val="5"/>
        <w:tabs>
          <w:tab w:val="left" w:pos="352"/>
        </w:tabs>
        <w:spacing w:line="317" w:lineRule="exact"/>
        <w:ind w:firstLine="410" w:firstLineChars="200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/>
        </w:rPr>
        <w:t>计算方法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  <w:t>：</w:t>
      </w:r>
    </w:p>
    <w:p w14:paraId="77EB06AD">
      <w:pPr>
        <w:pStyle w:val="5"/>
        <w:tabs>
          <w:tab w:val="left" w:pos="352"/>
        </w:tabs>
        <w:spacing w:line="276" w:lineRule="auto"/>
        <w:ind w:firstLine="420" w:firstLineChars="200"/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本裁量表格计算方法：</w:t>
      </w:r>
    </w:p>
    <w:p w14:paraId="5824B32E">
      <w:pPr>
        <w:pStyle w:val="5"/>
        <w:tabs>
          <w:tab w:val="left" w:pos="352"/>
        </w:tabs>
        <w:spacing w:line="276" w:lineRule="auto"/>
        <w:ind w:firstLine="42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罚款金额=百分值之和</w:t>
      </w:r>
      <w:r>
        <w:rPr>
          <w:rFonts w:hint="eastAsia" w:ascii="仿宋" w:hAnsi="仿宋" w:eastAsia="仿宋" w:cs="仿宋"/>
          <w:color w:val="000000"/>
          <w:spacing w:val="-3"/>
          <w:sz w:val="21"/>
          <w:szCs w:val="21"/>
        </w:rPr>
        <w:t>×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最高法定罚款上限 10万元，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eastAsia="zh-CN" w:bidi="ar-SA"/>
        </w:rPr>
        <w:t>罚款金额按“千”取整，不得低于法定限额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。</w:t>
      </w:r>
    </w:p>
    <w:p w14:paraId="0295597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7722D"/>
    <w:rsid w:val="0D87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2025-09-05T02:02:00Z</dcterms:created>
  <dc:creator>WPS_1602127366</dc:creator>
  <cp:lastModifiedBy>WPS_1602127366</cp:lastModifiedBy>
  <dcterms:modified xsi:type="dcterms:W3CDTF">2025-09-05T02:02:56Z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3317F9DCABB74039AD19B3CECBF94FC8_11</vt:lpwstr>
  </property>
  <property fmtid="{D5CDD505-2E9C-101B-9397-08002B2CF9AE}" pid="4" name="KSOTemplateDocerSaveRecord">
    <vt:lpwstr>eyJoZGlkIjoiMDQ3ZTgyNzdiYjAxMWZmZDY5OTdhY2EwZTVmMjVhYjYiLCJ1c2VySWQiOiIxMTI4NDI0NzcyIn0=</vt:lpwstr>
  </property>
</Properties>
</file>