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162EE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微软雅黑" w:hAnsi="微软雅黑" w:eastAsia="微软雅黑" w:cs="微软雅黑"/>
          <w:b/>
          <w:bCs/>
          <w:color w:val="000000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30"/>
          <w:szCs w:val="30"/>
          <w:lang w:val="en-US" w:eastAsia="zh-CN" w:bidi="ar"/>
        </w:rPr>
        <w:t>根据《裁量基准》列表呈现</w:t>
      </w:r>
    </w:p>
    <w:p w14:paraId="185C79B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微软雅黑" w:hAnsi="微软雅黑" w:eastAsia="微软雅黑" w:cs="微软雅黑"/>
          <w:b/>
          <w:bCs/>
          <w:color w:val="000000"/>
          <w:kern w:val="0"/>
          <w:sz w:val="30"/>
          <w:szCs w:val="30"/>
          <w:lang w:val="en-US" w:eastAsia="zh-CN" w:bidi="ar"/>
        </w:rPr>
      </w:pPr>
      <w:bookmarkStart w:id="0" w:name="_GoBack"/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30"/>
          <w:szCs w:val="30"/>
          <w:lang w:val="en-US" w:eastAsia="zh-CN" w:bidi="ar"/>
        </w:rPr>
        <w:t>山西XXX煤炭有限公司</w:t>
      </w:r>
    </w:p>
    <w:p w14:paraId="7603792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微软雅黑" w:hAnsi="微软雅黑" w:eastAsia="微软雅黑" w:cs="微软雅黑"/>
          <w:b/>
          <w:bCs/>
          <w:color w:val="000000"/>
          <w:kern w:val="0"/>
          <w:sz w:val="30"/>
          <w:szCs w:val="30"/>
          <w:lang w:val="en-US" w:eastAsia="zh-CN" w:bidi="ar"/>
        </w:rPr>
      </w:pPr>
      <w:r>
        <w:rPr>
          <w:rFonts w:hint="eastAsia" w:ascii="微软雅黑" w:hAnsi="微软雅黑" w:eastAsia="微软雅黑" w:cs="微软雅黑"/>
          <w:b/>
          <w:bCs/>
          <w:color w:val="000000"/>
          <w:kern w:val="0"/>
          <w:sz w:val="30"/>
          <w:szCs w:val="30"/>
          <w:lang w:val="en-US" w:eastAsia="zh-CN" w:bidi="ar"/>
        </w:rPr>
        <w:t>违反对扬尘物质采取有效防治措施的罚款幅度裁定</w:t>
      </w:r>
    </w:p>
    <w:bookmarkEnd w:id="0"/>
    <w:tbl>
      <w:tblPr>
        <w:tblStyle w:val="5"/>
        <w:tblW w:w="8793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68"/>
        <w:gridCol w:w="903"/>
        <w:gridCol w:w="2221"/>
        <w:gridCol w:w="673"/>
        <w:gridCol w:w="2506"/>
        <w:gridCol w:w="1380"/>
        <w:gridCol w:w="642"/>
      </w:tblGrid>
      <w:tr w14:paraId="341F8D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339" w:hRule="exact"/>
          <w:tblHeader/>
        </w:trPr>
        <w:tc>
          <w:tcPr>
            <w:tcW w:w="468" w:type="dxa"/>
            <w:vMerge w:val="restart"/>
            <w:noWrap w:val="0"/>
            <w:vAlign w:val="center"/>
          </w:tcPr>
          <w:p w14:paraId="1836539F">
            <w:pPr>
              <w:pStyle w:val="4"/>
              <w:keepNext w:val="0"/>
              <w:keepLines w:val="0"/>
              <w:pageBreakBefore w:val="0"/>
              <w:widowControl w:val="0"/>
              <w:tabs>
                <w:tab w:val="left" w:pos="352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eastAsia="en-US"/>
              </w:rPr>
              <w:t>序</w:t>
            </w:r>
          </w:p>
          <w:p w14:paraId="1C90F9EA">
            <w:pPr>
              <w:pStyle w:val="4"/>
              <w:keepNext w:val="0"/>
              <w:keepLines w:val="0"/>
              <w:pageBreakBefore w:val="0"/>
              <w:widowControl w:val="0"/>
              <w:tabs>
                <w:tab w:val="left" w:pos="352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eastAsia="en-US"/>
              </w:rPr>
              <w:t>号</w:t>
            </w:r>
          </w:p>
        </w:tc>
        <w:tc>
          <w:tcPr>
            <w:tcW w:w="3797" w:type="dxa"/>
            <w:gridSpan w:val="3"/>
            <w:noWrap w:val="0"/>
            <w:vAlign w:val="center"/>
          </w:tcPr>
          <w:p w14:paraId="2A68F23B">
            <w:pPr>
              <w:pStyle w:val="4"/>
              <w:keepNext w:val="0"/>
              <w:keepLines w:val="0"/>
              <w:pageBreakBefore w:val="0"/>
              <w:widowControl w:val="0"/>
              <w:tabs>
                <w:tab w:val="left" w:pos="352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eastAsia="en-US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eastAsia="en-US"/>
              </w:rPr>
              <w:t>裁量要素</w:t>
            </w:r>
          </w:p>
        </w:tc>
        <w:tc>
          <w:tcPr>
            <w:tcW w:w="3886" w:type="dxa"/>
            <w:gridSpan w:val="2"/>
            <w:noWrap w:val="0"/>
            <w:vAlign w:val="center"/>
          </w:tcPr>
          <w:p w14:paraId="51184B8D">
            <w:pPr>
              <w:pStyle w:val="4"/>
              <w:keepNext w:val="0"/>
              <w:keepLines w:val="0"/>
              <w:pageBreakBefore w:val="0"/>
              <w:widowControl w:val="0"/>
              <w:tabs>
                <w:tab w:val="left" w:pos="352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val="en-US" w:eastAsia="en-US"/>
              </w:rPr>
              <w:t>判定标准</w:t>
            </w:r>
          </w:p>
        </w:tc>
        <w:tc>
          <w:tcPr>
            <w:tcW w:w="642" w:type="dxa"/>
            <w:vMerge w:val="restart"/>
            <w:noWrap w:val="0"/>
            <w:vAlign w:val="center"/>
          </w:tcPr>
          <w:p w14:paraId="38E5E279">
            <w:pPr>
              <w:pStyle w:val="4"/>
              <w:keepNext w:val="0"/>
              <w:keepLines w:val="0"/>
              <w:pageBreakBefore w:val="0"/>
              <w:widowControl w:val="0"/>
              <w:tabs>
                <w:tab w:val="left" w:pos="352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val="en-US" w:eastAsia="zh-CN"/>
              </w:rPr>
              <w:t>决定</w:t>
            </w:r>
          </w:p>
        </w:tc>
      </w:tr>
      <w:tr w14:paraId="3FD6C1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58" w:hRule="exact"/>
          <w:tblHeader/>
        </w:trPr>
        <w:tc>
          <w:tcPr>
            <w:tcW w:w="468" w:type="dxa"/>
            <w:vMerge w:val="continue"/>
            <w:tcBorders>
              <w:top w:val="nil"/>
            </w:tcBorders>
            <w:noWrap w:val="0"/>
            <w:vAlign w:val="center"/>
          </w:tcPr>
          <w:p w14:paraId="486AB3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right="0" w:firstLine="408" w:firstLineChars="20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3"/>
                <w:kern w:val="0"/>
                <w:sz w:val="21"/>
                <w:szCs w:val="21"/>
                <w:lang w:val="zh-CN" w:eastAsia="en-US" w:bidi="zh-CN"/>
              </w:rPr>
            </w:pPr>
          </w:p>
        </w:tc>
        <w:tc>
          <w:tcPr>
            <w:tcW w:w="903" w:type="dxa"/>
            <w:noWrap w:val="0"/>
            <w:vAlign w:val="center"/>
          </w:tcPr>
          <w:p w14:paraId="7D4F61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pacing w:val="-3"/>
                <w:kern w:val="0"/>
                <w:sz w:val="21"/>
                <w:szCs w:val="21"/>
                <w:lang w:val="zh-CN" w:eastAsia="en-US" w:bidi="zh-CN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3"/>
                <w:kern w:val="0"/>
                <w:sz w:val="21"/>
                <w:szCs w:val="21"/>
                <w:lang w:val="zh-CN" w:eastAsia="en-US" w:bidi="zh-CN"/>
              </w:rPr>
              <w:t>要素</w:t>
            </w:r>
          </w:p>
        </w:tc>
        <w:tc>
          <w:tcPr>
            <w:tcW w:w="2221" w:type="dxa"/>
            <w:noWrap w:val="0"/>
            <w:vAlign w:val="center"/>
          </w:tcPr>
          <w:p w14:paraId="602E652D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val="en-US" w:eastAsia="en-US"/>
              </w:rPr>
              <w:t>具体条件</w:t>
            </w:r>
          </w:p>
        </w:tc>
        <w:tc>
          <w:tcPr>
            <w:tcW w:w="673" w:type="dxa"/>
            <w:noWrap w:val="0"/>
            <w:vAlign w:val="center"/>
          </w:tcPr>
          <w:p w14:paraId="74661438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val="en-US" w:eastAsia="en-US"/>
              </w:rPr>
              <w:t>构成</w:t>
            </w:r>
            <w:r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val="en-US" w:eastAsia="en-US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val="en-US" w:eastAsia="en-US"/>
              </w:rPr>
              <w:t>比例</w:t>
            </w:r>
          </w:p>
        </w:tc>
        <w:tc>
          <w:tcPr>
            <w:tcW w:w="2506" w:type="dxa"/>
            <w:noWrap w:val="0"/>
            <w:vAlign w:val="center"/>
          </w:tcPr>
          <w:p w14:paraId="47F5BC3B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val="en-US" w:eastAsia="en-US"/>
              </w:rPr>
              <w:t>程度</w:t>
            </w:r>
          </w:p>
        </w:tc>
        <w:tc>
          <w:tcPr>
            <w:tcW w:w="1380" w:type="dxa"/>
            <w:noWrap w:val="0"/>
            <w:vAlign w:val="center"/>
          </w:tcPr>
          <w:p w14:paraId="1C8ACF1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-3"/>
                <w:sz w:val="21"/>
                <w:szCs w:val="21"/>
                <w:lang w:val="en-US" w:eastAsia="en-US"/>
              </w:rPr>
              <w:t>百分值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2"/>
                <w:lang w:val="en-US" w:eastAsia="en-US" w:bidi="zh-CN"/>
              </w:rPr>
              <w:t>（X）</w:t>
            </w:r>
          </w:p>
        </w:tc>
        <w:tc>
          <w:tcPr>
            <w:tcW w:w="642" w:type="dxa"/>
            <w:vMerge w:val="continue"/>
            <w:noWrap w:val="0"/>
            <w:vAlign w:val="center"/>
          </w:tcPr>
          <w:p w14:paraId="4EAB8D98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3"/>
                <w:sz w:val="21"/>
                <w:szCs w:val="21"/>
                <w:lang w:val="en-US" w:eastAsia="en-US"/>
              </w:rPr>
            </w:pPr>
          </w:p>
        </w:tc>
      </w:tr>
      <w:tr w14:paraId="1CB7B3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30" w:hRule="exact"/>
        </w:trPr>
        <w:tc>
          <w:tcPr>
            <w:tcW w:w="468" w:type="dxa"/>
            <w:vMerge w:val="restart"/>
            <w:noWrap w:val="0"/>
            <w:vAlign w:val="center"/>
          </w:tcPr>
          <w:p w14:paraId="697E2CBB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2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2"/>
                <w:lang w:val="en-US" w:eastAsia="en-US"/>
              </w:rPr>
              <w:t>1</w:t>
            </w:r>
          </w:p>
        </w:tc>
        <w:tc>
          <w:tcPr>
            <w:tcW w:w="903" w:type="dxa"/>
            <w:vMerge w:val="restart"/>
            <w:noWrap w:val="0"/>
            <w:vAlign w:val="center"/>
          </w:tcPr>
          <w:p w14:paraId="07002B0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2"/>
                <w:lang w:val="en-US" w:eastAsia="zh-CN"/>
              </w:rPr>
              <w:t>违法事实情节</w:t>
            </w:r>
          </w:p>
        </w:tc>
        <w:tc>
          <w:tcPr>
            <w:tcW w:w="2221" w:type="dxa"/>
            <w:noWrap w:val="0"/>
            <w:vAlign w:val="center"/>
          </w:tcPr>
          <w:p w14:paraId="6BBBFB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zh-CN" w:bidi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zh-CN" w:bidi="zh-CN"/>
              </w:rPr>
              <w:t>物料类型</w:t>
            </w:r>
          </w:p>
          <w:p w14:paraId="52D92C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zh-CN" w:bidi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zh-CN" w:bidi="zh-CN"/>
              </w:rPr>
              <w:t>（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zh-CN" w:bidi="zh-CN"/>
              </w:rPr>
              <w:t>煤炭</w:t>
            </w:r>
            <w:r>
              <w:rPr>
                <w:rFonts w:hint="default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zh-CN" w:bidi="zh-CN"/>
              </w:rPr>
              <w:t>）</w:t>
            </w:r>
          </w:p>
        </w:tc>
        <w:tc>
          <w:tcPr>
            <w:tcW w:w="673" w:type="dxa"/>
            <w:noWrap w:val="0"/>
            <w:vAlign w:val="center"/>
          </w:tcPr>
          <w:p w14:paraId="679DD2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10%</w:t>
            </w:r>
          </w:p>
        </w:tc>
        <w:tc>
          <w:tcPr>
            <w:tcW w:w="2506" w:type="dxa"/>
            <w:noWrap w:val="0"/>
            <w:vAlign w:val="center"/>
          </w:tcPr>
          <w:p w14:paraId="6EEDE7E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zh-CN" w:bidi="zh-CN"/>
              </w:rPr>
              <w:t>煤炭、煤矸石、煤渣、煤灰</w:t>
            </w:r>
          </w:p>
        </w:tc>
        <w:tc>
          <w:tcPr>
            <w:tcW w:w="1380" w:type="dxa"/>
            <w:noWrap w:val="0"/>
            <w:vAlign w:val="center"/>
          </w:tcPr>
          <w:p w14:paraId="13BACF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7%＜X≤10%</w:t>
            </w:r>
          </w:p>
        </w:tc>
        <w:tc>
          <w:tcPr>
            <w:tcW w:w="642" w:type="dxa"/>
            <w:noWrap w:val="0"/>
            <w:vAlign w:val="center"/>
          </w:tcPr>
          <w:p w14:paraId="42039A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8%</w:t>
            </w:r>
          </w:p>
        </w:tc>
      </w:tr>
      <w:tr w14:paraId="402314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30" w:hRule="exact"/>
        </w:trPr>
        <w:tc>
          <w:tcPr>
            <w:tcW w:w="468" w:type="dxa"/>
            <w:vMerge w:val="continue"/>
            <w:noWrap w:val="0"/>
            <w:vAlign w:val="center"/>
          </w:tcPr>
          <w:p w14:paraId="4628BB48">
            <w:pPr>
              <w:pStyle w:val="4"/>
              <w:keepNext w:val="0"/>
              <w:keepLines w:val="0"/>
              <w:pageBreakBefore w:val="0"/>
              <w:widowControl w:val="0"/>
              <w:tabs>
                <w:tab w:val="left" w:pos="352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3"/>
                <w:sz w:val="21"/>
                <w:szCs w:val="21"/>
                <w:lang w:val="en-US" w:eastAsia="en-US"/>
              </w:rPr>
            </w:pPr>
          </w:p>
        </w:tc>
        <w:tc>
          <w:tcPr>
            <w:tcW w:w="903" w:type="dxa"/>
            <w:vMerge w:val="continue"/>
            <w:noWrap w:val="0"/>
            <w:vAlign w:val="center"/>
          </w:tcPr>
          <w:p w14:paraId="3E41A007">
            <w:pPr>
              <w:pStyle w:val="4"/>
              <w:keepNext w:val="0"/>
              <w:keepLines w:val="0"/>
              <w:pageBreakBefore w:val="0"/>
              <w:widowControl w:val="0"/>
              <w:tabs>
                <w:tab w:val="left" w:pos="352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3"/>
                <w:sz w:val="21"/>
                <w:szCs w:val="21"/>
                <w:lang w:val="en-US" w:eastAsia="en-US"/>
              </w:rPr>
            </w:pPr>
          </w:p>
        </w:tc>
        <w:tc>
          <w:tcPr>
            <w:tcW w:w="2221" w:type="dxa"/>
            <w:noWrap w:val="0"/>
            <w:vAlign w:val="center"/>
          </w:tcPr>
          <w:p w14:paraId="7398CD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zh-CN" w:bidi="zh-CN"/>
              </w:rPr>
              <w:t>苫盖面积</w:t>
            </w:r>
          </w:p>
          <w:p w14:paraId="65BE1D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zh-CN" w:bidi="zh-CN"/>
              </w:rPr>
              <w:t>（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en-US" w:bidi="zh-CN"/>
              </w:rPr>
              <w:t>苫盖面积不足50%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zh-CN" w:bidi="zh-CN"/>
              </w:rPr>
              <w:t>）</w:t>
            </w:r>
          </w:p>
        </w:tc>
        <w:tc>
          <w:tcPr>
            <w:tcW w:w="673" w:type="dxa"/>
            <w:noWrap w:val="0"/>
            <w:vAlign w:val="center"/>
          </w:tcPr>
          <w:p w14:paraId="37C6CC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10%</w:t>
            </w:r>
          </w:p>
        </w:tc>
        <w:tc>
          <w:tcPr>
            <w:tcW w:w="2506" w:type="dxa"/>
            <w:noWrap w:val="0"/>
            <w:vAlign w:val="center"/>
          </w:tcPr>
          <w:p w14:paraId="4F0240D1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en-US" w:bidi="zh-CN"/>
              </w:rPr>
              <w:t>苫盖面积不足50%</w:t>
            </w:r>
          </w:p>
        </w:tc>
        <w:tc>
          <w:tcPr>
            <w:tcW w:w="1380" w:type="dxa"/>
            <w:noWrap w:val="0"/>
            <w:vAlign w:val="center"/>
          </w:tcPr>
          <w:p w14:paraId="4C057D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5%＜X≤10%</w:t>
            </w:r>
          </w:p>
        </w:tc>
        <w:tc>
          <w:tcPr>
            <w:tcW w:w="642" w:type="dxa"/>
            <w:noWrap w:val="0"/>
            <w:vAlign w:val="center"/>
          </w:tcPr>
          <w:p w14:paraId="520166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lang w:val="en-US" w:eastAsia="zh-CN"/>
              </w:rPr>
              <w:t>7</w:t>
            </w:r>
            <w:r>
              <w:rPr>
                <w:rFonts w:hint="eastAsia" w:ascii="仿宋" w:hAnsi="仿宋" w:eastAsia="仿宋" w:cs="仿宋"/>
                <w:b w:val="0"/>
                <w:bCs w:val="0"/>
                <w:lang w:eastAsia="en-US"/>
              </w:rPr>
              <w:t>%</w:t>
            </w:r>
          </w:p>
        </w:tc>
      </w:tr>
      <w:tr w14:paraId="78B366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127" w:hRule="exact"/>
        </w:trPr>
        <w:tc>
          <w:tcPr>
            <w:tcW w:w="468" w:type="dxa"/>
            <w:vMerge w:val="continue"/>
            <w:noWrap w:val="0"/>
            <w:vAlign w:val="center"/>
          </w:tcPr>
          <w:p w14:paraId="7C6813B1">
            <w:pPr>
              <w:pStyle w:val="4"/>
              <w:keepNext w:val="0"/>
              <w:keepLines w:val="0"/>
              <w:pageBreakBefore w:val="0"/>
              <w:widowControl w:val="0"/>
              <w:tabs>
                <w:tab w:val="left" w:pos="352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3"/>
                <w:sz w:val="21"/>
                <w:szCs w:val="21"/>
                <w:lang w:val="en-US" w:eastAsia="en-US"/>
              </w:rPr>
            </w:pPr>
          </w:p>
        </w:tc>
        <w:tc>
          <w:tcPr>
            <w:tcW w:w="903" w:type="dxa"/>
            <w:vMerge w:val="continue"/>
            <w:noWrap w:val="0"/>
            <w:vAlign w:val="center"/>
          </w:tcPr>
          <w:p w14:paraId="7A6DCAA6">
            <w:pPr>
              <w:pStyle w:val="4"/>
              <w:keepNext w:val="0"/>
              <w:keepLines w:val="0"/>
              <w:pageBreakBefore w:val="0"/>
              <w:widowControl w:val="0"/>
              <w:tabs>
                <w:tab w:val="left" w:pos="352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3"/>
                <w:sz w:val="21"/>
                <w:szCs w:val="21"/>
                <w:lang w:val="en-US" w:eastAsia="en-US"/>
              </w:rPr>
            </w:pPr>
          </w:p>
        </w:tc>
        <w:tc>
          <w:tcPr>
            <w:tcW w:w="2221" w:type="dxa"/>
            <w:noWrap w:val="0"/>
            <w:vAlign w:val="center"/>
          </w:tcPr>
          <w:p w14:paraId="40E94CEC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  <w:t xml:space="preserve">围挡高度 </w:t>
            </w:r>
          </w:p>
          <w:p w14:paraId="4BC1D912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  <w:t>（现场检查发现围挡高于堆存的物料两米以上，本项无裁量依据）</w:t>
            </w:r>
          </w:p>
        </w:tc>
        <w:tc>
          <w:tcPr>
            <w:tcW w:w="673" w:type="dxa"/>
            <w:noWrap w:val="0"/>
            <w:vAlign w:val="center"/>
          </w:tcPr>
          <w:p w14:paraId="419358C2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en-US" w:bidi="ar-SA"/>
              </w:rPr>
              <w:t>1</w:t>
            </w:r>
            <w:r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zh-CN" w:bidi="ar-SA"/>
              </w:rPr>
              <w:t>0</w:t>
            </w:r>
            <w:r>
              <w:rPr>
                <w:rFonts w:hint="eastAsia" w:ascii="仿宋" w:hAnsi="仿宋" w:eastAsia="仿宋" w:cs="仿宋"/>
                <w:color w:val="000000"/>
                <w:kern w:val="2"/>
                <w:sz w:val="21"/>
                <w:szCs w:val="24"/>
                <w:lang w:val="en-US" w:eastAsia="en-US" w:bidi="ar-SA"/>
              </w:rPr>
              <w:t>%</w:t>
            </w:r>
          </w:p>
        </w:tc>
        <w:tc>
          <w:tcPr>
            <w:tcW w:w="2506" w:type="dxa"/>
            <w:noWrap w:val="0"/>
            <w:vAlign w:val="center"/>
          </w:tcPr>
          <w:p w14:paraId="62B24480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</w:p>
        </w:tc>
        <w:tc>
          <w:tcPr>
            <w:tcW w:w="1380" w:type="dxa"/>
            <w:noWrap w:val="0"/>
            <w:vAlign w:val="center"/>
          </w:tcPr>
          <w:p w14:paraId="6F0AD3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</w:p>
        </w:tc>
        <w:tc>
          <w:tcPr>
            <w:tcW w:w="642" w:type="dxa"/>
            <w:noWrap w:val="0"/>
            <w:vAlign w:val="center"/>
          </w:tcPr>
          <w:p w14:paraId="49AFCD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lang w:eastAsia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lang w:val="en-US" w:eastAsia="zh-CN"/>
              </w:rPr>
              <w:t>0</w:t>
            </w:r>
            <w:r>
              <w:rPr>
                <w:rFonts w:hint="eastAsia" w:ascii="仿宋" w:hAnsi="仿宋" w:eastAsia="仿宋" w:cs="仿宋"/>
                <w:b w:val="0"/>
                <w:bCs w:val="0"/>
                <w:lang w:eastAsia="en-US"/>
              </w:rPr>
              <w:t>%</w:t>
            </w:r>
          </w:p>
        </w:tc>
      </w:tr>
      <w:tr w14:paraId="51E46F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51" w:hRule="exact"/>
        </w:trPr>
        <w:tc>
          <w:tcPr>
            <w:tcW w:w="468" w:type="dxa"/>
            <w:vMerge w:val="continue"/>
            <w:noWrap w:val="0"/>
            <w:vAlign w:val="center"/>
          </w:tcPr>
          <w:p w14:paraId="246BD7F2">
            <w:pPr>
              <w:pStyle w:val="4"/>
              <w:keepNext w:val="0"/>
              <w:keepLines w:val="0"/>
              <w:pageBreakBefore w:val="0"/>
              <w:widowControl w:val="0"/>
              <w:tabs>
                <w:tab w:val="left" w:pos="352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3"/>
                <w:sz w:val="21"/>
                <w:szCs w:val="21"/>
                <w:lang w:val="en-US" w:eastAsia="en-US"/>
              </w:rPr>
            </w:pPr>
          </w:p>
        </w:tc>
        <w:tc>
          <w:tcPr>
            <w:tcW w:w="903" w:type="dxa"/>
            <w:vMerge w:val="continue"/>
            <w:noWrap w:val="0"/>
            <w:vAlign w:val="center"/>
          </w:tcPr>
          <w:p w14:paraId="4458A00C">
            <w:pPr>
              <w:pStyle w:val="4"/>
              <w:keepNext w:val="0"/>
              <w:keepLines w:val="0"/>
              <w:pageBreakBefore w:val="0"/>
              <w:widowControl w:val="0"/>
              <w:tabs>
                <w:tab w:val="left" w:pos="352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3"/>
                <w:sz w:val="21"/>
                <w:szCs w:val="21"/>
                <w:lang w:val="en-US" w:eastAsia="en-US"/>
              </w:rPr>
            </w:pPr>
          </w:p>
        </w:tc>
        <w:tc>
          <w:tcPr>
            <w:tcW w:w="2221" w:type="dxa"/>
            <w:noWrap w:val="0"/>
            <w:vAlign w:val="center"/>
          </w:tcPr>
          <w:p w14:paraId="0AC44E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排放去向</w:t>
            </w:r>
          </w:p>
          <w:p w14:paraId="7C6FD4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（位于安荣乡泥河村，距离县城8公里的其他区域）</w:t>
            </w:r>
          </w:p>
        </w:tc>
        <w:tc>
          <w:tcPr>
            <w:tcW w:w="673" w:type="dxa"/>
            <w:noWrap w:val="0"/>
            <w:vAlign w:val="center"/>
          </w:tcPr>
          <w:p w14:paraId="304EF0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zh-CN" w:bidi="zh-CN"/>
              </w:rPr>
              <w:t>10%</w:t>
            </w:r>
          </w:p>
        </w:tc>
        <w:tc>
          <w:tcPr>
            <w:tcW w:w="2506" w:type="dxa"/>
            <w:noWrap w:val="0"/>
            <w:vAlign w:val="center"/>
          </w:tcPr>
          <w:p w14:paraId="5450E4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1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1"/>
                <w:szCs w:val="24"/>
                <w:lang w:val="en-US" w:eastAsia="zh-CN"/>
              </w:rPr>
              <w:t>工业区和其他地区</w:t>
            </w:r>
          </w:p>
        </w:tc>
        <w:tc>
          <w:tcPr>
            <w:tcW w:w="1380" w:type="dxa"/>
            <w:noWrap w:val="0"/>
            <w:vAlign w:val="center"/>
          </w:tcPr>
          <w:p w14:paraId="0EA84C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pacing w:val="-2"/>
                <w:kern w:val="0"/>
                <w:position w:val="1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spacing w:val="-2"/>
                <w:kern w:val="0"/>
                <w:position w:val="1"/>
                <w:sz w:val="21"/>
                <w:szCs w:val="21"/>
                <w:lang w:val="en-US" w:eastAsia="zh-CN" w:bidi="zh-CN"/>
              </w:rPr>
              <w:t>1%≤X≤5%</w:t>
            </w:r>
          </w:p>
        </w:tc>
        <w:tc>
          <w:tcPr>
            <w:tcW w:w="642" w:type="dxa"/>
            <w:noWrap w:val="0"/>
            <w:vAlign w:val="center"/>
          </w:tcPr>
          <w:p w14:paraId="2E6276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en-US" w:bidi="zh-CN"/>
              </w:rPr>
              <w:t>2%</w:t>
            </w:r>
          </w:p>
        </w:tc>
      </w:tr>
      <w:tr w14:paraId="063FB1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881" w:hRule="exact"/>
        </w:trPr>
        <w:tc>
          <w:tcPr>
            <w:tcW w:w="468" w:type="dxa"/>
            <w:vMerge w:val="continue"/>
            <w:noWrap w:val="0"/>
            <w:vAlign w:val="center"/>
          </w:tcPr>
          <w:p w14:paraId="3FB4152E">
            <w:pPr>
              <w:pStyle w:val="4"/>
              <w:keepNext w:val="0"/>
              <w:keepLines w:val="0"/>
              <w:pageBreakBefore w:val="0"/>
              <w:widowControl w:val="0"/>
              <w:tabs>
                <w:tab w:val="left" w:pos="352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3"/>
                <w:sz w:val="21"/>
                <w:szCs w:val="21"/>
                <w:lang w:val="en-US" w:eastAsia="en-US"/>
              </w:rPr>
            </w:pPr>
          </w:p>
        </w:tc>
        <w:tc>
          <w:tcPr>
            <w:tcW w:w="903" w:type="dxa"/>
            <w:vMerge w:val="continue"/>
            <w:noWrap w:val="0"/>
            <w:vAlign w:val="center"/>
          </w:tcPr>
          <w:p w14:paraId="2A386440">
            <w:pPr>
              <w:pStyle w:val="4"/>
              <w:keepNext w:val="0"/>
              <w:keepLines w:val="0"/>
              <w:pageBreakBefore w:val="0"/>
              <w:widowControl w:val="0"/>
              <w:tabs>
                <w:tab w:val="left" w:pos="352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3"/>
                <w:sz w:val="21"/>
                <w:szCs w:val="21"/>
                <w:lang w:val="en-US" w:eastAsia="en-US"/>
              </w:rPr>
            </w:pPr>
          </w:p>
        </w:tc>
        <w:tc>
          <w:tcPr>
            <w:tcW w:w="2221" w:type="dxa"/>
            <w:noWrap w:val="0"/>
            <w:vAlign w:val="center"/>
          </w:tcPr>
          <w:p w14:paraId="01A068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违法行为持续时间</w:t>
            </w:r>
          </w:p>
          <w:p w14:paraId="4F558E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（2026年5月5日开始堆存，堆存43天）</w:t>
            </w:r>
          </w:p>
        </w:tc>
        <w:tc>
          <w:tcPr>
            <w:tcW w:w="673" w:type="dxa"/>
            <w:noWrap w:val="0"/>
            <w:vAlign w:val="center"/>
          </w:tcPr>
          <w:p w14:paraId="1D9110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zh-CN" w:bidi="zh-CN"/>
              </w:rPr>
              <w:t>1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0%</w:t>
            </w:r>
          </w:p>
        </w:tc>
        <w:tc>
          <w:tcPr>
            <w:tcW w:w="2506" w:type="dxa"/>
            <w:noWrap w:val="0"/>
            <w:vAlign w:val="center"/>
          </w:tcPr>
          <w:p w14:paraId="300129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zh-CN" w:bidi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zh-CN" w:bidi="zh-CN"/>
              </w:rPr>
              <w:t>1个月以上不足3个月</w:t>
            </w:r>
          </w:p>
        </w:tc>
        <w:tc>
          <w:tcPr>
            <w:tcW w:w="1380" w:type="dxa"/>
            <w:noWrap w:val="0"/>
            <w:vAlign w:val="center"/>
          </w:tcPr>
          <w:p w14:paraId="06F755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spacing w:val="-2"/>
                <w:kern w:val="0"/>
                <w:position w:val="1"/>
                <w:sz w:val="21"/>
                <w:szCs w:val="21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spacing w:val="-2"/>
                <w:kern w:val="0"/>
                <w:position w:val="1"/>
                <w:sz w:val="21"/>
                <w:szCs w:val="21"/>
                <w:lang w:val="en-US" w:eastAsia="zh-CN" w:bidi="zh-CN"/>
              </w:rPr>
              <w:t>5%＜X≤9%</w:t>
            </w:r>
          </w:p>
        </w:tc>
        <w:tc>
          <w:tcPr>
            <w:tcW w:w="642" w:type="dxa"/>
            <w:noWrap w:val="0"/>
            <w:vAlign w:val="center"/>
          </w:tcPr>
          <w:p w14:paraId="23A429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en-US" w:bidi="zh-CN"/>
              </w:rPr>
              <w:t>7%</w:t>
            </w:r>
          </w:p>
        </w:tc>
      </w:tr>
      <w:tr w14:paraId="7EF0EC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193" w:hRule="exact"/>
        </w:trPr>
        <w:tc>
          <w:tcPr>
            <w:tcW w:w="468" w:type="dxa"/>
            <w:vMerge w:val="continue"/>
            <w:noWrap w:val="0"/>
            <w:vAlign w:val="center"/>
          </w:tcPr>
          <w:p w14:paraId="341FAB7B">
            <w:pPr>
              <w:pStyle w:val="4"/>
              <w:keepNext w:val="0"/>
              <w:keepLines w:val="0"/>
              <w:pageBreakBefore w:val="0"/>
              <w:widowControl w:val="0"/>
              <w:tabs>
                <w:tab w:val="left" w:pos="352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3"/>
                <w:sz w:val="21"/>
                <w:szCs w:val="21"/>
                <w:lang w:val="en-US" w:eastAsia="en-US"/>
              </w:rPr>
            </w:pPr>
          </w:p>
        </w:tc>
        <w:tc>
          <w:tcPr>
            <w:tcW w:w="903" w:type="dxa"/>
            <w:vMerge w:val="continue"/>
            <w:noWrap w:val="0"/>
            <w:vAlign w:val="center"/>
          </w:tcPr>
          <w:p w14:paraId="72F5C4CC">
            <w:pPr>
              <w:pStyle w:val="4"/>
              <w:keepNext w:val="0"/>
              <w:keepLines w:val="0"/>
              <w:pageBreakBefore w:val="0"/>
              <w:widowControl w:val="0"/>
              <w:tabs>
                <w:tab w:val="left" w:pos="352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3"/>
                <w:sz w:val="21"/>
                <w:szCs w:val="21"/>
                <w:lang w:val="en-US" w:eastAsia="en-US"/>
              </w:rPr>
            </w:pPr>
          </w:p>
        </w:tc>
        <w:tc>
          <w:tcPr>
            <w:tcW w:w="2221" w:type="dxa"/>
            <w:noWrap w:val="0"/>
            <w:vAlign w:val="center"/>
          </w:tcPr>
          <w:p w14:paraId="450416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两年内违反次数</w:t>
            </w:r>
          </w:p>
          <w:p w14:paraId="2DF2B8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（2024年10月22日接受过生态环境部门的行政处罚，处罚文号：朔环山罚[2024]0005号）</w:t>
            </w:r>
          </w:p>
        </w:tc>
        <w:tc>
          <w:tcPr>
            <w:tcW w:w="673" w:type="dxa"/>
            <w:noWrap w:val="0"/>
            <w:vAlign w:val="center"/>
          </w:tcPr>
          <w:p w14:paraId="3EE3C8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zh-CN" w:bidi="zh-CN"/>
              </w:rPr>
              <w:t>10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%</w:t>
            </w:r>
          </w:p>
        </w:tc>
        <w:tc>
          <w:tcPr>
            <w:tcW w:w="2506" w:type="dxa"/>
            <w:noWrap w:val="0"/>
            <w:vAlign w:val="center"/>
          </w:tcPr>
          <w:p w14:paraId="213895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en-US" w:bidi="zh-CN"/>
              </w:rPr>
              <w:t>1次</w:t>
            </w:r>
          </w:p>
        </w:tc>
        <w:tc>
          <w:tcPr>
            <w:tcW w:w="1380" w:type="dxa"/>
            <w:noWrap w:val="0"/>
            <w:vAlign w:val="center"/>
          </w:tcPr>
          <w:p w14:paraId="137D48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kern w:val="2"/>
                <w:sz w:val="21"/>
                <w:szCs w:val="21"/>
                <w:lang w:val="en-US" w:eastAsia="en-US" w:bidi="zh-CN"/>
              </w:rPr>
              <w:t>3%</w:t>
            </w:r>
          </w:p>
        </w:tc>
        <w:tc>
          <w:tcPr>
            <w:tcW w:w="642" w:type="dxa"/>
            <w:noWrap w:val="0"/>
            <w:vAlign w:val="center"/>
          </w:tcPr>
          <w:p w14:paraId="455D37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2"/>
                <w:sz w:val="21"/>
                <w:szCs w:val="21"/>
                <w:lang w:val="en-US" w:eastAsia="en-US" w:bidi="zh-CN"/>
              </w:rPr>
              <w:t>3%</w:t>
            </w:r>
          </w:p>
        </w:tc>
      </w:tr>
      <w:tr w14:paraId="419B3D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712" w:hRule="exact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88ABBC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1"/>
                <w:szCs w:val="22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szCs w:val="22"/>
                <w:lang w:val="en-US" w:eastAsia="en-US"/>
              </w:rPr>
              <w:t>2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69DA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2"/>
                <w:lang w:val="en-US" w:eastAsia="en-US" w:bidi="zh-CN"/>
              </w:rPr>
              <w:t>整改情况</w:t>
            </w:r>
          </w:p>
        </w:tc>
        <w:tc>
          <w:tcPr>
            <w:tcW w:w="22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25DC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是否停止违并进行改正</w:t>
            </w:r>
          </w:p>
          <w:p w14:paraId="035FD5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（2026年6月18日执法人员对该公司的责令改正情况进行复查，发现该公司南站台露天堆煤已全部清理。）</w:t>
            </w:r>
          </w:p>
        </w:tc>
        <w:tc>
          <w:tcPr>
            <w:tcW w:w="6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1E45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zh-CN" w:bidi="zh-CN"/>
              </w:rPr>
              <w:t>1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0%</w:t>
            </w:r>
          </w:p>
        </w:tc>
        <w:tc>
          <w:tcPr>
            <w:tcW w:w="2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ABD1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en-US" w:bidi="zh-CN"/>
              </w:rPr>
              <w:t>已停止违法，且进行改正</w:t>
            </w:r>
          </w:p>
        </w:tc>
        <w:tc>
          <w:tcPr>
            <w:tcW w:w="1380" w:type="dxa"/>
            <w:tcBorders>
              <w:left w:val="single" w:color="auto" w:sz="4" w:space="0"/>
            </w:tcBorders>
            <w:noWrap w:val="0"/>
            <w:vAlign w:val="center"/>
          </w:tcPr>
          <w:p w14:paraId="54F86C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zh-CN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zh-CN" w:bidi="zh-CN"/>
              </w:rPr>
              <w:t>0</w:t>
            </w:r>
          </w:p>
        </w:tc>
        <w:tc>
          <w:tcPr>
            <w:tcW w:w="642" w:type="dxa"/>
            <w:tcBorders>
              <w:left w:val="single" w:color="auto" w:sz="4" w:space="0"/>
            </w:tcBorders>
            <w:noWrap w:val="0"/>
            <w:vAlign w:val="center"/>
          </w:tcPr>
          <w:p w14:paraId="3EC199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kern w:val="2"/>
                <w:sz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lang w:val="en-US" w:eastAsia="zh-CN"/>
              </w:rPr>
              <w:t>0%</w:t>
            </w:r>
          </w:p>
        </w:tc>
      </w:tr>
      <w:tr w14:paraId="1689BD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210" w:hRule="exact"/>
        </w:trPr>
        <w:tc>
          <w:tcPr>
            <w:tcW w:w="46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1E37C36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3"/>
                <w:sz w:val="21"/>
                <w:szCs w:val="21"/>
                <w:lang w:val="en-US" w:eastAsia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1"/>
                <w:lang w:val="en-US" w:eastAsia="en-US"/>
              </w:rPr>
              <w:t>3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18E84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2"/>
                <w:lang w:val="en-US" w:eastAsia="en-US" w:bidi="zh-CN"/>
              </w:rPr>
              <w:t>社会影响和生态破坏程度</w:t>
            </w:r>
          </w:p>
        </w:tc>
        <w:tc>
          <w:tcPr>
            <w:tcW w:w="222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26C77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 xml:space="preserve">是否造成社会影 </w:t>
            </w:r>
          </w:p>
          <w:p w14:paraId="281C29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响和生态破坏</w:t>
            </w:r>
          </w:p>
          <w:p w14:paraId="1406B7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（该案件一次有效投诉，造成的社会影响和生态破坏程度轻微）</w:t>
            </w:r>
          </w:p>
          <w:p w14:paraId="0B9B6D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</w:p>
          <w:p w14:paraId="281F05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</w:p>
          <w:p w14:paraId="2D3B58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</w:p>
          <w:p w14:paraId="20E3D4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）</w:t>
            </w:r>
          </w:p>
        </w:tc>
        <w:tc>
          <w:tcPr>
            <w:tcW w:w="673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84809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20%</w:t>
            </w:r>
          </w:p>
        </w:tc>
        <w:tc>
          <w:tcPr>
            <w:tcW w:w="2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E2FC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en-US" w:bidi="zh-CN"/>
              </w:rPr>
              <w:t>轻微（1级）</w:t>
            </w:r>
          </w:p>
        </w:tc>
        <w:tc>
          <w:tcPr>
            <w:tcW w:w="1380" w:type="dxa"/>
            <w:tcBorders>
              <w:left w:val="single" w:color="auto" w:sz="4" w:space="0"/>
            </w:tcBorders>
            <w:noWrap w:val="0"/>
            <w:vAlign w:val="center"/>
          </w:tcPr>
          <w:p w14:paraId="26193B9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44" w:line="240" w:lineRule="exact"/>
              <w:ind w:right="75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1%≤X≤5%</w:t>
            </w:r>
          </w:p>
        </w:tc>
        <w:tc>
          <w:tcPr>
            <w:tcW w:w="642" w:type="dxa"/>
            <w:tcBorders>
              <w:left w:val="single" w:color="auto" w:sz="4" w:space="0"/>
            </w:tcBorders>
            <w:noWrap w:val="0"/>
            <w:vAlign w:val="center"/>
          </w:tcPr>
          <w:p w14:paraId="505C0EC0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2%</w:t>
            </w:r>
          </w:p>
        </w:tc>
      </w:tr>
      <w:tr w14:paraId="12EBBA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59" w:hRule="exact"/>
        </w:trPr>
        <w:tc>
          <w:tcPr>
            <w:tcW w:w="468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6E443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lang w:eastAsia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2"/>
                <w:lang w:val="en-US" w:eastAsia="zh-CN" w:bidi="zh-CN"/>
              </w:rPr>
              <w:t>4</w:t>
            </w:r>
          </w:p>
        </w:tc>
        <w:tc>
          <w:tcPr>
            <w:tcW w:w="903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1BC67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2"/>
                <w:lang w:val="zh-CN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2"/>
                <w:lang w:val="zh-CN" w:eastAsia="zh-CN" w:bidi="zh-CN"/>
              </w:rPr>
              <w:t>经济承受度</w:t>
            </w:r>
          </w:p>
        </w:tc>
        <w:tc>
          <w:tcPr>
            <w:tcW w:w="2221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DCACB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企业规模大小</w:t>
            </w:r>
          </w:p>
          <w:p w14:paraId="620B24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（从业人员11人）</w:t>
            </w:r>
          </w:p>
        </w:tc>
        <w:tc>
          <w:tcPr>
            <w:tcW w:w="673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4D35B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5%</w:t>
            </w:r>
          </w:p>
        </w:tc>
        <w:tc>
          <w:tcPr>
            <w:tcW w:w="2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7B8A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en-US" w:bidi="zh-CN"/>
              </w:rPr>
              <w:t>小（微）型企事业单位</w:t>
            </w:r>
          </w:p>
        </w:tc>
        <w:tc>
          <w:tcPr>
            <w:tcW w:w="1380" w:type="dxa"/>
            <w:tcBorders>
              <w:left w:val="single" w:color="auto" w:sz="4" w:space="0"/>
            </w:tcBorders>
            <w:noWrap w:val="0"/>
            <w:vAlign w:val="center"/>
          </w:tcPr>
          <w:p w14:paraId="71145E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－3%≤X＜0</w:t>
            </w:r>
          </w:p>
        </w:tc>
        <w:tc>
          <w:tcPr>
            <w:tcW w:w="642" w:type="dxa"/>
            <w:tcBorders>
              <w:left w:val="single" w:color="auto" w:sz="4" w:space="0"/>
            </w:tcBorders>
            <w:noWrap w:val="0"/>
            <w:vAlign w:val="center"/>
          </w:tcPr>
          <w:p w14:paraId="0A3C92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-2%</w:t>
            </w:r>
          </w:p>
        </w:tc>
      </w:tr>
      <w:tr w14:paraId="7E051F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33" w:hRule="exact"/>
        </w:trPr>
        <w:tc>
          <w:tcPr>
            <w:tcW w:w="46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0340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lang w:eastAsia="en-US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2"/>
                <w:lang w:val="en-US" w:eastAsia="zh-CN" w:bidi="zh-CN"/>
              </w:rPr>
              <w:t>5</w:t>
            </w:r>
          </w:p>
        </w:tc>
        <w:tc>
          <w:tcPr>
            <w:tcW w:w="903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3EEF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2"/>
                <w:lang w:val="zh-CN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kern w:val="0"/>
                <w:sz w:val="21"/>
                <w:szCs w:val="22"/>
                <w:lang w:val="zh-CN" w:eastAsia="zh-CN" w:bidi="zh-CN"/>
              </w:rPr>
              <w:t>地区差异</w:t>
            </w:r>
          </w:p>
        </w:tc>
        <w:tc>
          <w:tcPr>
            <w:tcW w:w="2221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1ECE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zh-CN" w:eastAsia="en-US" w:bidi="zh-CN"/>
              </w:rPr>
              <w:t>经济社会发展程度及环境容量的大小</w:t>
            </w:r>
          </w:p>
        </w:tc>
        <w:tc>
          <w:tcPr>
            <w:tcW w:w="673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6D8E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5%</w:t>
            </w:r>
          </w:p>
        </w:tc>
        <w:tc>
          <w:tcPr>
            <w:tcW w:w="2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412C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en-US" w:bidi="zh-CN"/>
              </w:rPr>
              <w:t>各地级市可以结合实际自行确定地区差异，裁量比例数值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zh-CN" w:eastAsia="en-US" w:bidi="zh-CN"/>
              </w:rPr>
              <w:t>（加减５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en-US" w:eastAsia="en-US" w:bidi="zh-CN"/>
              </w:rPr>
              <w:t>%</w:t>
            </w:r>
            <w:r>
              <w:rPr>
                <w:rFonts w:hint="eastAsia" w:ascii="仿宋" w:hAnsi="仿宋" w:eastAsia="仿宋" w:cs="仿宋"/>
                <w:b w:val="0"/>
                <w:bCs w:val="0"/>
                <w:spacing w:val="0"/>
                <w:kern w:val="0"/>
                <w:position w:val="1"/>
                <w:sz w:val="21"/>
                <w:szCs w:val="22"/>
                <w:lang w:val="zh-CN" w:eastAsia="en-US" w:bidi="zh-CN"/>
              </w:rPr>
              <w:t>）</w:t>
            </w:r>
          </w:p>
        </w:tc>
        <w:tc>
          <w:tcPr>
            <w:tcW w:w="1380" w:type="dxa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6B48FD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－5%≤X≤5%</w:t>
            </w:r>
          </w:p>
        </w:tc>
        <w:tc>
          <w:tcPr>
            <w:tcW w:w="642" w:type="dxa"/>
            <w:tcBorders>
              <w:left w:val="single" w:color="auto" w:sz="4" w:space="0"/>
            </w:tcBorders>
            <w:noWrap w:val="0"/>
            <w:vAlign w:val="center"/>
          </w:tcPr>
          <w:p w14:paraId="7DB8CF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0</w:t>
            </w:r>
          </w:p>
        </w:tc>
      </w:tr>
      <w:tr w14:paraId="6F788C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92" w:hRule="exact"/>
        </w:trPr>
        <w:tc>
          <w:tcPr>
            <w:tcW w:w="815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70AE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exact"/>
              <w:ind w:left="0" w:leftChars="0" w:right="0" w:rightChars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8"/>
                <w:szCs w:val="28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8"/>
                <w:szCs w:val="28"/>
                <w:lang w:val="en-US" w:eastAsia="en-US" w:bidi="zh-CN"/>
              </w:rPr>
              <w:t xml:space="preserve">合  计 </w:t>
            </w:r>
          </w:p>
        </w:tc>
        <w:tc>
          <w:tcPr>
            <w:tcW w:w="642" w:type="dxa"/>
            <w:tcBorders>
              <w:left w:val="single" w:color="auto" w:sz="4" w:space="0"/>
            </w:tcBorders>
            <w:noWrap w:val="0"/>
            <w:vAlign w:val="center"/>
          </w:tcPr>
          <w:p w14:paraId="06F13B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40" w:lineRule="exact"/>
              <w:ind w:left="0" w:leftChars="0" w:right="0" w:rightChars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pacing w:val="-2"/>
                <w:kern w:val="0"/>
                <w:position w:val="1"/>
                <w:sz w:val="21"/>
                <w:szCs w:val="22"/>
                <w:lang w:val="en-US" w:eastAsia="en-US" w:bidi="zh-CN"/>
              </w:rPr>
              <w:t>27%</w:t>
            </w:r>
          </w:p>
        </w:tc>
      </w:tr>
    </w:tbl>
    <w:p w14:paraId="526A6EA2">
      <w:pPr>
        <w:pStyle w:val="4"/>
        <w:keepNext w:val="0"/>
        <w:keepLines w:val="0"/>
        <w:pageBreakBefore w:val="0"/>
        <w:widowControl w:val="0"/>
        <w:tabs>
          <w:tab w:val="left" w:pos="352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00" w:lineRule="exact"/>
        <w:ind w:firstLine="410" w:firstLineChars="200"/>
        <w:textAlignment w:val="auto"/>
        <w:rPr>
          <w:rFonts w:hint="eastAsia" w:ascii="仿宋" w:hAnsi="仿宋" w:eastAsia="仿宋" w:cs="仿宋"/>
          <w:b/>
          <w:bCs/>
          <w:color w:val="000000"/>
          <w:spacing w:val="-3"/>
          <w:sz w:val="21"/>
          <w:szCs w:val="21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spacing w:val="-3"/>
          <w:sz w:val="21"/>
          <w:szCs w:val="21"/>
          <w:lang w:val="en-US"/>
        </w:rPr>
        <w:t>计算方法</w:t>
      </w:r>
      <w:r>
        <w:rPr>
          <w:rFonts w:hint="eastAsia" w:ascii="仿宋" w:hAnsi="仿宋" w:eastAsia="仿宋" w:cs="仿宋"/>
          <w:b/>
          <w:bCs/>
          <w:color w:val="000000"/>
          <w:spacing w:val="-3"/>
          <w:sz w:val="21"/>
          <w:szCs w:val="21"/>
          <w:lang w:val="en-US" w:eastAsia="zh-CN"/>
        </w:rPr>
        <w:t>：</w:t>
      </w:r>
    </w:p>
    <w:p w14:paraId="008EB883">
      <w:pPr>
        <w:pStyle w:val="4"/>
        <w:keepNext w:val="0"/>
        <w:keepLines w:val="0"/>
        <w:pageBreakBefore w:val="0"/>
        <w:widowControl w:val="0"/>
        <w:tabs>
          <w:tab w:val="left" w:pos="352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00" w:lineRule="exact"/>
        <w:ind w:firstLine="420" w:firstLineChars="200"/>
        <w:textAlignment w:val="auto"/>
        <w:rPr>
          <w:rFonts w:hint="eastAsia" w:ascii="仿宋" w:hAnsi="仿宋" w:eastAsia="仿宋" w:cs="仿宋"/>
          <w:color w:val="000000"/>
          <w:kern w:val="2"/>
          <w:sz w:val="21"/>
          <w:lang w:val="en-US" w:bidi="ar-SA"/>
        </w:rPr>
      </w:pPr>
      <w:r>
        <w:rPr>
          <w:rFonts w:hint="eastAsia" w:ascii="仿宋" w:hAnsi="仿宋" w:eastAsia="仿宋" w:cs="仿宋"/>
          <w:color w:val="000000"/>
          <w:kern w:val="2"/>
          <w:sz w:val="21"/>
          <w:lang w:val="en-US" w:bidi="ar-SA"/>
        </w:rPr>
        <w:t>本裁量表格计算方法：</w:t>
      </w:r>
    </w:p>
    <w:p w14:paraId="0C44D5B3">
      <w:pPr>
        <w:pStyle w:val="4"/>
        <w:keepNext w:val="0"/>
        <w:keepLines w:val="0"/>
        <w:pageBreakBefore w:val="0"/>
        <w:widowControl w:val="0"/>
        <w:tabs>
          <w:tab w:val="left" w:pos="352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00" w:lineRule="exact"/>
        <w:ind w:firstLine="420" w:firstLineChars="200"/>
        <w:textAlignment w:val="auto"/>
      </w:pPr>
      <w:r>
        <w:rPr>
          <w:rFonts w:hint="eastAsia" w:ascii="仿宋" w:hAnsi="仿宋" w:eastAsia="仿宋" w:cs="仿宋"/>
          <w:color w:val="000000"/>
          <w:kern w:val="2"/>
          <w:sz w:val="21"/>
          <w:lang w:val="en-US" w:bidi="ar-SA"/>
        </w:rPr>
        <w:t>罚款金额=百分值之和</w:t>
      </w:r>
      <w:r>
        <w:rPr>
          <w:rFonts w:hint="eastAsia" w:ascii="仿宋" w:hAnsi="仿宋" w:eastAsia="仿宋" w:cs="仿宋"/>
          <w:color w:val="000000"/>
          <w:spacing w:val="-3"/>
          <w:sz w:val="21"/>
          <w:szCs w:val="21"/>
        </w:rPr>
        <w:t>×</w:t>
      </w:r>
      <w:r>
        <w:rPr>
          <w:rFonts w:hint="eastAsia" w:ascii="仿宋" w:hAnsi="仿宋" w:eastAsia="仿宋" w:cs="仿宋"/>
          <w:color w:val="000000"/>
          <w:kern w:val="2"/>
          <w:sz w:val="21"/>
          <w:lang w:val="en-US" w:bidi="ar-SA"/>
        </w:rPr>
        <w:t>最高法定罚款上限 10万元，</w:t>
      </w:r>
      <w:r>
        <w:rPr>
          <w:rFonts w:hint="eastAsia" w:ascii="仿宋" w:hAnsi="仿宋" w:eastAsia="仿宋" w:cs="仿宋"/>
          <w:color w:val="000000"/>
          <w:kern w:val="2"/>
          <w:sz w:val="21"/>
          <w:lang w:val="en-US" w:eastAsia="zh-CN" w:bidi="ar-SA"/>
        </w:rPr>
        <w:t>罚款金额按“千”取整，不得低于法定限额</w:t>
      </w:r>
      <w:r>
        <w:rPr>
          <w:rFonts w:hint="eastAsia" w:ascii="仿宋" w:hAnsi="仿宋" w:eastAsia="仿宋" w:cs="仿宋"/>
          <w:color w:val="000000"/>
          <w:kern w:val="2"/>
          <w:sz w:val="21"/>
          <w:lang w:val="en-US" w:bidi="ar-SA"/>
        </w:rPr>
        <w:t>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B42E08"/>
    <w:rsid w:val="5FB42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Paragraph"/>
    <w:basedOn w:val="1"/>
    <w:qFormat/>
    <w:uiPriority w:val="1"/>
    <w:pPr>
      <w:autoSpaceDE w:val="0"/>
      <w:autoSpaceDN w:val="0"/>
      <w:jc w:val="left"/>
    </w:pPr>
    <w:rPr>
      <w:rFonts w:ascii="宋体" w:hAnsi="宋体" w:eastAsia="宋体" w:cs="宋体"/>
      <w:kern w:val="0"/>
      <w:sz w:val="22"/>
      <w:lang w:val="zh-CN" w:bidi="zh-CN"/>
    </w:rPr>
  </w:style>
  <w:style w:type="table" w:customStyle="1" w:styleId="5">
    <w:name w:val="Table Normal"/>
    <w:unhideWhenUsed/>
    <w:qFormat/>
    <w:uiPriority w:val="2"/>
    <w:pPr>
      <w:widowControl w:val="0"/>
      <w:autoSpaceDE w:val="0"/>
      <w:autoSpaceDN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2026-07-15T08:13:00Z</dcterms:created>
  <dc:creator>151****3006</dc:creator>
  <cp:lastModifiedBy>151****3006</cp:lastModifiedBy>
  <dcterms:modified xsi:type="dcterms:W3CDTF">2026-07-15T08:16:43Z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D2F501C91F9C487B880E810B06F14E05_11</vt:lpwstr>
  </property>
  <property fmtid="{D5CDD505-2E9C-101B-9397-08002B2CF9AE}" pid="4" name="KSOTemplateDocerSaveRecord">
    <vt:lpwstr>eyJoZGlkIjoiN2QzZjRiYmU0ODZjNDZhYWRkMmQ5MTNhYjEyZmFhOWQiLCJ1c2VySWQiOiI0NzExNjk4MTUifQ==</vt:lpwstr>
  </property>
</Properties>
</file>