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31F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根据《裁量基准》列表呈现</w:t>
      </w:r>
    </w:p>
    <w:p w14:paraId="1629924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山阴XX建材有限公司违反“三同时”制度的罚款幅度裁定</w:t>
      </w:r>
      <w:bookmarkEnd w:id="0"/>
    </w:p>
    <w:tbl>
      <w:tblPr>
        <w:tblStyle w:val="5"/>
        <w:tblW w:w="879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878"/>
        <w:gridCol w:w="3435"/>
        <w:gridCol w:w="585"/>
        <w:gridCol w:w="1695"/>
        <w:gridCol w:w="1090"/>
        <w:gridCol w:w="642"/>
      </w:tblGrid>
      <w:tr w14:paraId="198AC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9" w:hRule="exact"/>
          <w:tblHeader/>
        </w:trPr>
        <w:tc>
          <w:tcPr>
            <w:tcW w:w="468" w:type="dxa"/>
            <w:vMerge w:val="restart"/>
            <w:noWrap w:val="0"/>
            <w:vAlign w:val="center"/>
          </w:tcPr>
          <w:p w14:paraId="2AFC2231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序</w:t>
            </w:r>
          </w:p>
          <w:p w14:paraId="42619BC7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号</w:t>
            </w:r>
          </w:p>
        </w:tc>
        <w:tc>
          <w:tcPr>
            <w:tcW w:w="4898" w:type="dxa"/>
            <w:gridSpan w:val="3"/>
            <w:noWrap w:val="0"/>
            <w:vAlign w:val="center"/>
          </w:tcPr>
          <w:p w14:paraId="64F28FD3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裁量要素</w:t>
            </w:r>
          </w:p>
        </w:tc>
        <w:tc>
          <w:tcPr>
            <w:tcW w:w="2785" w:type="dxa"/>
            <w:gridSpan w:val="2"/>
            <w:noWrap w:val="0"/>
            <w:vAlign w:val="center"/>
          </w:tcPr>
          <w:p w14:paraId="1F385915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判定标准</w:t>
            </w:r>
          </w:p>
        </w:tc>
        <w:tc>
          <w:tcPr>
            <w:tcW w:w="642" w:type="dxa"/>
            <w:vMerge w:val="restart"/>
            <w:noWrap w:val="0"/>
            <w:vAlign w:val="center"/>
          </w:tcPr>
          <w:p w14:paraId="77D3370D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zh-CN"/>
              </w:rPr>
              <w:t>决定</w:t>
            </w:r>
          </w:p>
        </w:tc>
      </w:tr>
      <w:tr w14:paraId="55383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 w:hRule="exact"/>
          <w:tblHeader/>
        </w:trPr>
        <w:tc>
          <w:tcPr>
            <w:tcW w:w="468" w:type="dxa"/>
            <w:vMerge w:val="continue"/>
            <w:tcBorders>
              <w:top w:val="nil"/>
            </w:tcBorders>
            <w:noWrap w:val="0"/>
            <w:vAlign w:val="center"/>
          </w:tcPr>
          <w:p w14:paraId="51F6E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 w:firstLine="408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kern w:val="0"/>
                <w:sz w:val="21"/>
                <w:szCs w:val="21"/>
                <w:lang w:val="zh-CN" w:eastAsia="en-US" w:bidi="zh-CN"/>
              </w:rPr>
            </w:pPr>
          </w:p>
        </w:tc>
        <w:tc>
          <w:tcPr>
            <w:tcW w:w="878" w:type="dxa"/>
            <w:noWrap w:val="0"/>
            <w:vAlign w:val="center"/>
          </w:tcPr>
          <w:p w14:paraId="0DB33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kern w:val="0"/>
                <w:sz w:val="21"/>
                <w:szCs w:val="21"/>
                <w:lang w:val="zh-CN" w:eastAsia="en-US" w:bidi="zh-CN"/>
              </w:rPr>
              <w:t>要素</w:t>
            </w:r>
          </w:p>
        </w:tc>
        <w:tc>
          <w:tcPr>
            <w:tcW w:w="3435" w:type="dxa"/>
            <w:noWrap w:val="0"/>
            <w:vAlign w:val="center"/>
          </w:tcPr>
          <w:p w14:paraId="6179F3E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具体条件</w:t>
            </w:r>
          </w:p>
        </w:tc>
        <w:tc>
          <w:tcPr>
            <w:tcW w:w="585" w:type="dxa"/>
            <w:noWrap w:val="0"/>
            <w:vAlign w:val="center"/>
          </w:tcPr>
          <w:p w14:paraId="61EF829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构成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比例</w:t>
            </w:r>
          </w:p>
        </w:tc>
        <w:tc>
          <w:tcPr>
            <w:tcW w:w="1695" w:type="dxa"/>
            <w:noWrap w:val="0"/>
            <w:vAlign w:val="center"/>
          </w:tcPr>
          <w:p w14:paraId="007EFA1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程度</w:t>
            </w:r>
          </w:p>
        </w:tc>
        <w:tc>
          <w:tcPr>
            <w:tcW w:w="1090" w:type="dxa"/>
            <w:noWrap w:val="0"/>
            <w:vAlign w:val="center"/>
          </w:tcPr>
          <w:p w14:paraId="71D1039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百分值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2"/>
                <w:lang w:val="en-US" w:eastAsia="en-US" w:bidi="zh-CN"/>
              </w:rPr>
              <w:t>（X）</w:t>
            </w:r>
          </w:p>
        </w:tc>
        <w:tc>
          <w:tcPr>
            <w:tcW w:w="642" w:type="dxa"/>
            <w:vMerge w:val="continue"/>
            <w:noWrap w:val="0"/>
            <w:vAlign w:val="center"/>
          </w:tcPr>
          <w:p w14:paraId="0656FBE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</w:tr>
      <w:tr w14:paraId="4E4163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exact"/>
        </w:trPr>
        <w:tc>
          <w:tcPr>
            <w:tcW w:w="468" w:type="dxa"/>
            <w:vMerge w:val="restart"/>
            <w:noWrap w:val="0"/>
            <w:vAlign w:val="center"/>
          </w:tcPr>
          <w:p w14:paraId="6047016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  <w:t>1</w:t>
            </w:r>
          </w:p>
        </w:tc>
        <w:tc>
          <w:tcPr>
            <w:tcW w:w="878" w:type="dxa"/>
            <w:vMerge w:val="restart"/>
            <w:noWrap w:val="0"/>
            <w:vAlign w:val="center"/>
          </w:tcPr>
          <w:p w14:paraId="6A658B8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zh-CN"/>
              </w:rPr>
              <w:t>违法事实情节</w:t>
            </w:r>
          </w:p>
        </w:tc>
        <w:tc>
          <w:tcPr>
            <w:tcW w:w="3435" w:type="dxa"/>
            <w:noWrap w:val="0"/>
            <w:vAlign w:val="center"/>
          </w:tcPr>
          <w:p w14:paraId="27125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建设项目涉及环评文件的类型</w:t>
            </w:r>
          </w:p>
          <w:p w14:paraId="0B097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（环评批复为报告表）</w:t>
            </w:r>
          </w:p>
        </w:tc>
        <w:tc>
          <w:tcPr>
            <w:tcW w:w="585" w:type="dxa"/>
            <w:noWrap w:val="0"/>
            <w:vAlign w:val="center"/>
          </w:tcPr>
          <w:p w14:paraId="12179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30%</w:t>
            </w:r>
          </w:p>
        </w:tc>
        <w:tc>
          <w:tcPr>
            <w:tcW w:w="1695" w:type="dxa"/>
            <w:noWrap w:val="0"/>
            <w:vAlign w:val="center"/>
          </w:tcPr>
          <w:p w14:paraId="20E11BF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报告表（生产型）</w:t>
            </w:r>
          </w:p>
        </w:tc>
        <w:tc>
          <w:tcPr>
            <w:tcW w:w="1090" w:type="dxa"/>
            <w:noWrap w:val="0"/>
            <w:vAlign w:val="center"/>
          </w:tcPr>
          <w:p w14:paraId="4B553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5%＜X≤10%</w:t>
            </w:r>
          </w:p>
        </w:tc>
        <w:tc>
          <w:tcPr>
            <w:tcW w:w="642" w:type="dxa"/>
            <w:noWrap w:val="0"/>
            <w:vAlign w:val="center"/>
          </w:tcPr>
          <w:p w14:paraId="4031C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8%</w:t>
            </w:r>
          </w:p>
        </w:tc>
      </w:tr>
      <w:tr w14:paraId="52BC2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0" w:hRule="exact"/>
        </w:trPr>
        <w:tc>
          <w:tcPr>
            <w:tcW w:w="468" w:type="dxa"/>
            <w:vMerge w:val="continue"/>
            <w:noWrap w:val="0"/>
            <w:vAlign w:val="center"/>
          </w:tcPr>
          <w:p w14:paraId="1D468F8C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878" w:type="dxa"/>
            <w:vMerge w:val="continue"/>
            <w:noWrap w:val="0"/>
            <w:vAlign w:val="center"/>
          </w:tcPr>
          <w:p w14:paraId="730F29EA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3435" w:type="dxa"/>
            <w:noWrap w:val="0"/>
            <w:vAlign w:val="center"/>
          </w:tcPr>
          <w:p w14:paraId="17C5E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项目建设地点</w:t>
            </w:r>
          </w:p>
        </w:tc>
        <w:tc>
          <w:tcPr>
            <w:tcW w:w="585" w:type="dxa"/>
            <w:noWrap w:val="0"/>
            <w:vAlign w:val="center"/>
          </w:tcPr>
          <w:p w14:paraId="6404F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10%</w:t>
            </w:r>
          </w:p>
        </w:tc>
        <w:tc>
          <w:tcPr>
            <w:tcW w:w="1695" w:type="dxa"/>
            <w:noWrap w:val="0"/>
            <w:vAlign w:val="center"/>
          </w:tcPr>
          <w:p w14:paraId="5D29852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符合环境功能规划</w:t>
            </w:r>
          </w:p>
        </w:tc>
        <w:tc>
          <w:tcPr>
            <w:tcW w:w="1090" w:type="dxa"/>
            <w:noWrap w:val="0"/>
            <w:vAlign w:val="center"/>
          </w:tcPr>
          <w:p w14:paraId="08798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</w:t>
            </w:r>
          </w:p>
        </w:tc>
        <w:tc>
          <w:tcPr>
            <w:tcW w:w="642" w:type="dxa"/>
            <w:noWrap w:val="0"/>
            <w:vAlign w:val="center"/>
          </w:tcPr>
          <w:p w14:paraId="65B77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  <w:t>%</w:t>
            </w:r>
          </w:p>
        </w:tc>
      </w:tr>
      <w:tr w14:paraId="66AF28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exact"/>
        </w:trPr>
        <w:tc>
          <w:tcPr>
            <w:tcW w:w="468" w:type="dxa"/>
            <w:vMerge w:val="continue"/>
            <w:noWrap w:val="0"/>
            <w:vAlign w:val="center"/>
          </w:tcPr>
          <w:p w14:paraId="2D0E5DBC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878" w:type="dxa"/>
            <w:vMerge w:val="continue"/>
            <w:noWrap w:val="0"/>
            <w:vAlign w:val="center"/>
          </w:tcPr>
          <w:p w14:paraId="6E1D1F63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3435" w:type="dxa"/>
            <w:noWrap w:val="0"/>
            <w:vAlign w:val="center"/>
          </w:tcPr>
          <w:p w14:paraId="6B423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违法行为持续时间</w:t>
            </w:r>
          </w:p>
          <w:p w14:paraId="4C101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（2026年5月初开始间断性生产15天）</w:t>
            </w:r>
          </w:p>
        </w:tc>
        <w:tc>
          <w:tcPr>
            <w:tcW w:w="585" w:type="dxa"/>
            <w:noWrap w:val="0"/>
            <w:vAlign w:val="center"/>
          </w:tcPr>
          <w:p w14:paraId="14D0F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0%</w:t>
            </w:r>
          </w:p>
        </w:tc>
        <w:tc>
          <w:tcPr>
            <w:tcW w:w="1695" w:type="dxa"/>
            <w:noWrap w:val="0"/>
            <w:vAlign w:val="center"/>
          </w:tcPr>
          <w:p w14:paraId="400DC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不足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1</w:t>
            </w: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个月</w:t>
            </w:r>
          </w:p>
        </w:tc>
        <w:tc>
          <w:tcPr>
            <w:tcW w:w="1090" w:type="dxa"/>
            <w:noWrap w:val="0"/>
            <w:vAlign w:val="center"/>
          </w:tcPr>
          <w:p w14:paraId="3D5F9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pacing w:val="-2"/>
                <w:kern w:val="0"/>
                <w:position w:val="1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3≤X≤5%</w:t>
            </w:r>
          </w:p>
        </w:tc>
        <w:tc>
          <w:tcPr>
            <w:tcW w:w="642" w:type="dxa"/>
            <w:noWrap w:val="0"/>
            <w:vAlign w:val="center"/>
          </w:tcPr>
          <w:p w14:paraId="16DC2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  <w:t>4%</w:t>
            </w:r>
          </w:p>
        </w:tc>
      </w:tr>
      <w:tr w14:paraId="05CC3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48" w:hRule="exact"/>
        </w:trPr>
        <w:tc>
          <w:tcPr>
            <w:tcW w:w="468" w:type="dxa"/>
            <w:vMerge w:val="continue"/>
            <w:noWrap w:val="0"/>
            <w:vAlign w:val="center"/>
          </w:tcPr>
          <w:p w14:paraId="330E0A2C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878" w:type="dxa"/>
            <w:vMerge w:val="continue"/>
            <w:noWrap w:val="0"/>
            <w:vAlign w:val="center"/>
          </w:tcPr>
          <w:p w14:paraId="52A38337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3435" w:type="dxa"/>
            <w:noWrap w:val="0"/>
            <w:vAlign w:val="center"/>
          </w:tcPr>
          <w:p w14:paraId="09F1C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环保设施建设情况</w:t>
            </w:r>
          </w:p>
          <w:p w14:paraId="4A128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已建成1#破碎车间，安装一套颚式破碎机，未按照环评要求安装布袋除尘器；2#破碎车间，安装一套反击式破碎机，未按照环评要求安装布袋除尘器；安装一套振动分级筛，未按照环评要求安装布袋除尘器；安装一套制砂机+洗砂机，安装三台压滤机，一台浓缩罐，建设一座沉淀池。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）</w:t>
            </w:r>
          </w:p>
        </w:tc>
        <w:tc>
          <w:tcPr>
            <w:tcW w:w="585" w:type="dxa"/>
            <w:noWrap w:val="0"/>
            <w:vAlign w:val="center"/>
          </w:tcPr>
          <w:p w14:paraId="2E3CD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%</w:t>
            </w:r>
          </w:p>
        </w:tc>
        <w:tc>
          <w:tcPr>
            <w:tcW w:w="1695" w:type="dxa"/>
            <w:noWrap w:val="0"/>
            <w:vAlign w:val="center"/>
          </w:tcPr>
          <w:p w14:paraId="1C011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配备部分环保设施</w:t>
            </w:r>
          </w:p>
        </w:tc>
        <w:tc>
          <w:tcPr>
            <w:tcW w:w="1090" w:type="dxa"/>
            <w:noWrap w:val="0"/>
            <w:vAlign w:val="center"/>
          </w:tcPr>
          <w:p w14:paraId="38FD0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1≤X≤9%</w:t>
            </w:r>
          </w:p>
        </w:tc>
        <w:tc>
          <w:tcPr>
            <w:tcW w:w="642" w:type="dxa"/>
            <w:noWrap w:val="0"/>
            <w:vAlign w:val="center"/>
          </w:tcPr>
          <w:p w14:paraId="7E299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  <w:t>7%</w:t>
            </w:r>
          </w:p>
        </w:tc>
      </w:tr>
      <w:tr w14:paraId="14FD7F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32" w:hRule="exact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CB68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  <w:t>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F1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  <w:t>整改情况</w:t>
            </w:r>
          </w:p>
        </w:tc>
        <w:tc>
          <w:tcPr>
            <w:tcW w:w="3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6C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是否积极采取整改措施</w:t>
            </w:r>
          </w:p>
          <w:p w14:paraId="7A75D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2026年7月10日执法人员对该公司的责令改正情况进行复查，发现该公司扩建项目未生产，原料棚钢结构框架已建成，缺失的配套环保设施已安装一套布袋除尘器和集尘罩，已与第三方签订竣工环境保护技术服务合同）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BD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0%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91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采取部分整改措施</w:t>
            </w:r>
          </w:p>
        </w:tc>
        <w:tc>
          <w:tcPr>
            <w:tcW w:w="1090" w:type="dxa"/>
            <w:tcBorders>
              <w:left w:val="single" w:color="auto" w:sz="4" w:space="0"/>
            </w:tcBorders>
            <w:noWrap w:val="0"/>
            <w:vAlign w:val="center"/>
          </w:tcPr>
          <w:p w14:paraId="305CD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3%≤X≤9%</w:t>
            </w:r>
          </w:p>
        </w:tc>
        <w:tc>
          <w:tcPr>
            <w:tcW w:w="642" w:type="dxa"/>
            <w:tcBorders>
              <w:left w:val="single" w:color="auto" w:sz="4" w:space="0"/>
            </w:tcBorders>
            <w:noWrap w:val="0"/>
            <w:vAlign w:val="center"/>
          </w:tcPr>
          <w:p w14:paraId="1FFDF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6%</w:t>
            </w:r>
          </w:p>
        </w:tc>
      </w:tr>
      <w:tr w14:paraId="5E8DED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5" w:hRule="exact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1404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lang w:val="en-US" w:eastAsia="en-US"/>
              </w:rPr>
              <w:t>3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F0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  <w:t>社会影响和生态破坏程度</w:t>
            </w:r>
          </w:p>
        </w:tc>
        <w:tc>
          <w:tcPr>
            <w:tcW w:w="34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1B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是否造成社会影响和生态破坏</w:t>
            </w:r>
          </w:p>
          <w:p w14:paraId="2F69E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（该案件一次有效投诉，造成的社会影响和生态破坏程度轻微）</w:t>
            </w:r>
          </w:p>
          <w:p w14:paraId="622AF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</w:p>
          <w:p w14:paraId="1B2CF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</w:p>
          <w:p w14:paraId="6B148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</w:p>
          <w:p w14:paraId="24352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）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0F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20%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7D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轻微（1级）</w:t>
            </w:r>
          </w:p>
        </w:tc>
        <w:tc>
          <w:tcPr>
            <w:tcW w:w="1090" w:type="dxa"/>
            <w:tcBorders>
              <w:left w:val="single" w:color="auto" w:sz="4" w:space="0"/>
            </w:tcBorders>
            <w:noWrap w:val="0"/>
            <w:vAlign w:val="center"/>
          </w:tcPr>
          <w:p w14:paraId="444726A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4" w:line="240" w:lineRule="exact"/>
              <w:ind w:right="75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1%≤X≤5%</w:t>
            </w:r>
          </w:p>
        </w:tc>
        <w:tc>
          <w:tcPr>
            <w:tcW w:w="642" w:type="dxa"/>
            <w:tcBorders>
              <w:left w:val="single" w:color="auto" w:sz="4" w:space="0"/>
            </w:tcBorders>
            <w:noWrap w:val="0"/>
            <w:vAlign w:val="center"/>
          </w:tcPr>
          <w:p w14:paraId="3B1CB83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2%</w:t>
            </w:r>
          </w:p>
        </w:tc>
      </w:tr>
      <w:tr w14:paraId="554BDC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9" w:hRule="exact"/>
        </w:trPr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5C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zh-CN" w:bidi="zh-CN"/>
              </w:rPr>
              <w:t>4</w:t>
            </w:r>
          </w:p>
        </w:tc>
        <w:tc>
          <w:tcPr>
            <w:tcW w:w="87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7E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zh-CN" w:bidi="zh-CN"/>
              </w:rPr>
              <w:t>经济承受度</w:t>
            </w:r>
          </w:p>
        </w:tc>
        <w:tc>
          <w:tcPr>
            <w:tcW w:w="343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1F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企业规模大小</w:t>
            </w:r>
          </w:p>
          <w:p w14:paraId="7D3C3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（从业人员12人）</w:t>
            </w:r>
          </w:p>
        </w:tc>
        <w:tc>
          <w:tcPr>
            <w:tcW w:w="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F0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5%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FA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小（微）型企事业单位</w:t>
            </w:r>
          </w:p>
        </w:tc>
        <w:tc>
          <w:tcPr>
            <w:tcW w:w="1090" w:type="dxa"/>
            <w:tcBorders>
              <w:left w:val="single" w:color="auto" w:sz="4" w:space="0"/>
            </w:tcBorders>
            <w:noWrap w:val="0"/>
            <w:vAlign w:val="center"/>
          </w:tcPr>
          <w:p w14:paraId="200F3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－3%≤X＜0</w:t>
            </w:r>
          </w:p>
        </w:tc>
        <w:tc>
          <w:tcPr>
            <w:tcW w:w="642" w:type="dxa"/>
            <w:tcBorders>
              <w:left w:val="single" w:color="auto" w:sz="4" w:space="0"/>
            </w:tcBorders>
            <w:noWrap w:val="0"/>
            <w:vAlign w:val="center"/>
          </w:tcPr>
          <w:p w14:paraId="0962B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-2%</w:t>
            </w:r>
          </w:p>
        </w:tc>
      </w:tr>
      <w:tr w14:paraId="1A9B75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88" w:hRule="exact"/>
        </w:trPr>
        <w:tc>
          <w:tcPr>
            <w:tcW w:w="4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37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zh-CN" w:bidi="zh-CN"/>
              </w:rPr>
              <w:t>5</w:t>
            </w:r>
          </w:p>
        </w:tc>
        <w:tc>
          <w:tcPr>
            <w:tcW w:w="87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AB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zh-CN" w:bidi="zh-CN"/>
              </w:rPr>
              <w:t>地区差异</w:t>
            </w:r>
          </w:p>
        </w:tc>
        <w:tc>
          <w:tcPr>
            <w:tcW w:w="343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55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zh-CN" w:eastAsia="en-US" w:bidi="zh-CN"/>
              </w:rPr>
              <w:t>经济社会发展程度及环境容量的大小</w:t>
            </w:r>
          </w:p>
        </w:tc>
        <w:tc>
          <w:tcPr>
            <w:tcW w:w="58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15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5%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A9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各地级市可以结合实际自行确定地区差异，裁量比例数值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zh-CN" w:eastAsia="en-US" w:bidi="zh-CN"/>
              </w:rPr>
              <w:t>（加减５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%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zh-CN" w:eastAsia="en-US" w:bidi="zh-CN"/>
              </w:rPr>
              <w:t>）</w:t>
            </w:r>
          </w:p>
        </w:tc>
        <w:tc>
          <w:tcPr>
            <w:tcW w:w="1090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607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－5%≤X≤5%</w:t>
            </w:r>
          </w:p>
        </w:tc>
        <w:tc>
          <w:tcPr>
            <w:tcW w:w="642" w:type="dxa"/>
            <w:tcBorders>
              <w:left w:val="single" w:color="auto" w:sz="4" w:space="0"/>
            </w:tcBorders>
            <w:noWrap w:val="0"/>
            <w:vAlign w:val="center"/>
          </w:tcPr>
          <w:p w14:paraId="354E5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</w:t>
            </w:r>
          </w:p>
        </w:tc>
      </w:tr>
      <w:tr w14:paraId="61735E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7" w:hRule="exact"/>
        </w:trPr>
        <w:tc>
          <w:tcPr>
            <w:tcW w:w="81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5F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8"/>
                <w:szCs w:val="28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1"/>
                <w:lang w:val="en-US" w:eastAsia="en-US" w:bidi="zh-CN"/>
              </w:rPr>
              <w:t xml:space="preserve">合  计 </w:t>
            </w:r>
          </w:p>
        </w:tc>
        <w:tc>
          <w:tcPr>
            <w:tcW w:w="642" w:type="dxa"/>
            <w:tcBorders>
              <w:left w:val="single" w:color="auto" w:sz="4" w:space="0"/>
            </w:tcBorders>
            <w:noWrap w:val="0"/>
            <w:vAlign w:val="center"/>
          </w:tcPr>
          <w:p w14:paraId="5AA0E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25%</w:t>
            </w:r>
          </w:p>
        </w:tc>
      </w:tr>
    </w:tbl>
    <w:p w14:paraId="5E651FDB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/>
        </w:rPr>
        <w:t>计算方法</w:t>
      </w: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>：</w:t>
      </w:r>
    </w:p>
    <w:p w14:paraId="36E57072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本裁量表格计算方法： </w:t>
      </w:r>
    </w:p>
    <w:p w14:paraId="440A669F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（1）环保设施未建成投入生产，按期改正的，罚款金额=百分值之和×最高法定罚款上限 100 </w:t>
      </w:r>
    </w:p>
    <w:p w14:paraId="505CD5E7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万元。罚款金额按“千”取整，不得低于法定限额。 </w:t>
      </w:r>
    </w:p>
    <w:p w14:paraId="5FD838BC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（2）环保设施未建成投入生产，逾期未改正的，参照上表经集体讨论后酌情裁量。 </w:t>
      </w:r>
    </w:p>
    <w:p w14:paraId="3F83E253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>（3）直接负责的主管人员和其他责任人员的罚款金额＝百分值之和×最高法定罚款上限 20 万元。罚款金额按“千”取整，不得低于法定限额。</w:t>
      </w:r>
    </w:p>
    <w:p w14:paraId="01B1AB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9348D5"/>
    <w:rsid w:val="3693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lang w:val="zh-CN" w:bidi="zh-CN"/>
    </w:rPr>
  </w:style>
  <w:style w:type="table" w:customStyle="1" w:styleId="5">
    <w:name w:val="Table Normal"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2026-08-10T02:14:00Z</dcterms:created>
  <dc:creator>151****3006</dc:creator>
  <cp:lastModifiedBy>151****3006</cp:lastModifiedBy>
  <dcterms:modified xsi:type="dcterms:W3CDTF">2026-08-10T02:15:54Z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18014F56964A41E9BAD45888F614653A_11</vt:lpwstr>
  </property>
  <property fmtid="{D5CDD505-2E9C-101B-9397-08002B2CF9AE}" pid="4" name="KSOTemplateDocerSaveRecord">
    <vt:lpwstr>eyJoZGlkIjoiN2QzZjRiYmU0ODZjNDZhYWRkMmQ5MTNhYjEyZmFhOWQiLCJ1c2VySWQiOiI0NzExNjk4MTUifQ==</vt:lpwstr>
  </property>
</Properties>
</file>