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CF4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根据《裁量基准》列表呈现</w:t>
      </w:r>
    </w:p>
    <w:p w14:paraId="256F59F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山阴</w:t>
      </w:r>
      <w:r>
        <w:rPr>
          <w:rFonts w:hint="eastAsia" w:ascii="微软雅黑" w:hAnsi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XX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建材有限公司</w:t>
      </w:r>
    </w:p>
    <w:p w14:paraId="04E06D6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0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color w:val="000000"/>
          <w:lang w:val="en-US" w:eastAsia="zh-CN"/>
        </w:rPr>
        <w:t>未取得排污许可证排放污染物的罚款幅度裁定</w:t>
      </w:r>
    </w:p>
    <w:bookmarkEnd w:id="0"/>
    <w:tbl>
      <w:tblPr>
        <w:tblStyle w:val="6"/>
        <w:tblW w:w="87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668"/>
        <w:gridCol w:w="3480"/>
        <w:gridCol w:w="570"/>
        <w:gridCol w:w="2070"/>
        <w:gridCol w:w="1065"/>
        <w:gridCol w:w="472"/>
      </w:tblGrid>
      <w:tr w14:paraId="692C9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tblHeader/>
        </w:trPr>
        <w:tc>
          <w:tcPr>
            <w:tcW w:w="468" w:type="dxa"/>
            <w:vMerge w:val="restart"/>
            <w:noWrap w:val="0"/>
            <w:vAlign w:val="center"/>
          </w:tcPr>
          <w:p w14:paraId="37C4C983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序</w:t>
            </w:r>
          </w:p>
          <w:p w14:paraId="5974B7DD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号</w:t>
            </w:r>
          </w:p>
        </w:tc>
        <w:tc>
          <w:tcPr>
            <w:tcW w:w="4718" w:type="dxa"/>
            <w:gridSpan w:val="3"/>
            <w:noWrap w:val="0"/>
            <w:vAlign w:val="center"/>
          </w:tcPr>
          <w:p w14:paraId="0B00D39F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裁量要素</w:t>
            </w:r>
          </w:p>
        </w:tc>
        <w:tc>
          <w:tcPr>
            <w:tcW w:w="3135" w:type="dxa"/>
            <w:gridSpan w:val="2"/>
            <w:noWrap w:val="0"/>
            <w:vAlign w:val="center"/>
          </w:tcPr>
          <w:p w14:paraId="6209FF51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判定标准</w:t>
            </w:r>
          </w:p>
        </w:tc>
        <w:tc>
          <w:tcPr>
            <w:tcW w:w="472" w:type="dxa"/>
            <w:vMerge w:val="restart"/>
            <w:noWrap w:val="0"/>
            <w:vAlign w:val="center"/>
          </w:tcPr>
          <w:p w14:paraId="4B3C221B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  <w:t>决定</w:t>
            </w:r>
          </w:p>
        </w:tc>
      </w:tr>
      <w:tr w14:paraId="28434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4" w:hRule="exact"/>
          <w:tblHeader/>
        </w:trPr>
        <w:tc>
          <w:tcPr>
            <w:tcW w:w="468" w:type="dxa"/>
            <w:vMerge w:val="continue"/>
            <w:tcBorders>
              <w:top w:val="nil"/>
            </w:tcBorders>
            <w:noWrap w:val="0"/>
            <w:vAlign w:val="center"/>
          </w:tcPr>
          <w:p w14:paraId="0F8BC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 w:firstLine="408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kern w:val="0"/>
                <w:sz w:val="21"/>
                <w:szCs w:val="21"/>
                <w:lang w:val="zh-CN" w:eastAsia="en-US" w:bidi="zh-CN"/>
              </w:rPr>
            </w:pPr>
          </w:p>
        </w:tc>
        <w:tc>
          <w:tcPr>
            <w:tcW w:w="668" w:type="dxa"/>
            <w:noWrap w:val="0"/>
            <w:vAlign w:val="center"/>
          </w:tcPr>
          <w:p w14:paraId="2A5B5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  <w:t>要素</w:t>
            </w:r>
          </w:p>
        </w:tc>
        <w:tc>
          <w:tcPr>
            <w:tcW w:w="3480" w:type="dxa"/>
            <w:noWrap w:val="0"/>
            <w:vAlign w:val="center"/>
          </w:tcPr>
          <w:p w14:paraId="7C92D6E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具体条件</w:t>
            </w:r>
          </w:p>
        </w:tc>
        <w:tc>
          <w:tcPr>
            <w:tcW w:w="570" w:type="dxa"/>
            <w:noWrap w:val="0"/>
            <w:vAlign w:val="center"/>
          </w:tcPr>
          <w:p w14:paraId="662EE33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构成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比例</w:t>
            </w:r>
          </w:p>
        </w:tc>
        <w:tc>
          <w:tcPr>
            <w:tcW w:w="2070" w:type="dxa"/>
            <w:noWrap w:val="0"/>
            <w:vAlign w:val="center"/>
          </w:tcPr>
          <w:p w14:paraId="2CECF8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程度</w:t>
            </w:r>
          </w:p>
        </w:tc>
        <w:tc>
          <w:tcPr>
            <w:tcW w:w="1065" w:type="dxa"/>
            <w:noWrap w:val="0"/>
            <w:vAlign w:val="center"/>
          </w:tcPr>
          <w:p w14:paraId="136BFFE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百分值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2"/>
                <w:lang w:val="en-US" w:eastAsia="en-US" w:bidi="zh-CN"/>
              </w:rPr>
              <w:t>（X）</w:t>
            </w:r>
          </w:p>
        </w:tc>
        <w:tc>
          <w:tcPr>
            <w:tcW w:w="472" w:type="dxa"/>
            <w:vMerge w:val="continue"/>
            <w:noWrap w:val="0"/>
            <w:vAlign w:val="center"/>
          </w:tcPr>
          <w:p w14:paraId="47E1C48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</w:tr>
      <w:tr w14:paraId="1AAFE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4" w:hRule="exact"/>
        </w:trPr>
        <w:tc>
          <w:tcPr>
            <w:tcW w:w="468" w:type="dxa"/>
            <w:vMerge w:val="restart"/>
            <w:noWrap w:val="0"/>
            <w:vAlign w:val="center"/>
          </w:tcPr>
          <w:p w14:paraId="6C7E50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1</w:t>
            </w:r>
          </w:p>
        </w:tc>
        <w:tc>
          <w:tcPr>
            <w:tcW w:w="668" w:type="dxa"/>
            <w:vMerge w:val="restart"/>
            <w:noWrap w:val="0"/>
            <w:vAlign w:val="center"/>
          </w:tcPr>
          <w:p w14:paraId="61F261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  <w:t>违法事实情节</w:t>
            </w:r>
          </w:p>
        </w:tc>
        <w:tc>
          <w:tcPr>
            <w:tcW w:w="3480" w:type="dxa"/>
            <w:noWrap w:val="0"/>
            <w:vAlign w:val="center"/>
          </w:tcPr>
          <w:p w14:paraId="7527C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违法行为类型</w:t>
            </w:r>
          </w:p>
        </w:tc>
        <w:tc>
          <w:tcPr>
            <w:tcW w:w="570" w:type="dxa"/>
            <w:noWrap w:val="0"/>
            <w:vAlign w:val="center"/>
          </w:tcPr>
          <w:p w14:paraId="5B7E6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2070" w:type="dxa"/>
            <w:noWrap w:val="0"/>
            <w:vAlign w:val="center"/>
          </w:tcPr>
          <w:p w14:paraId="691155A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未取得排污许可证排放污染物</w:t>
            </w:r>
          </w:p>
        </w:tc>
        <w:tc>
          <w:tcPr>
            <w:tcW w:w="1065" w:type="dxa"/>
            <w:noWrap w:val="0"/>
            <w:vAlign w:val="center"/>
          </w:tcPr>
          <w:p w14:paraId="47D6F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10%≤X≤15%</w:t>
            </w:r>
          </w:p>
        </w:tc>
        <w:tc>
          <w:tcPr>
            <w:tcW w:w="472" w:type="dxa"/>
            <w:noWrap w:val="0"/>
            <w:vAlign w:val="center"/>
          </w:tcPr>
          <w:p w14:paraId="4AF8C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11%</w:t>
            </w:r>
          </w:p>
        </w:tc>
      </w:tr>
      <w:tr w14:paraId="466ED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2" w:hRule="exact"/>
        </w:trPr>
        <w:tc>
          <w:tcPr>
            <w:tcW w:w="468" w:type="dxa"/>
            <w:vMerge w:val="continue"/>
            <w:noWrap w:val="0"/>
            <w:vAlign w:val="center"/>
          </w:tcPr>
          <w:p w14:paraId="46560F77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668" w:type="dxa"/>
            <w:vMerge w:val="continue"/>
            <w:noWrap w:val="0"/>
            <w:vAlign w:val="center"/>
          </w:tcPr>
          <w:p w14:paraId="32A18478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480" w:type="dxa"/>
            <w:noWrap w:val="0"/>
            <w:vAlign w:val="center"/>
          </w:tcPr>
          <w:p w14:paraId="5F8E7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排污许可管理类别</w:t>
            </w:r>
          </w:p>
          <w:p w14:paraId="714F9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（该公司扩建的砂石生产线建设项目行业类别为C3039其他建筑材料制造，排污许可管理类别为简化管理）</w:t>
            </w:r>
          </w:p>
        </w:tc>
        <w:tc>
          <w:tcPr>
            <w:tcW w:w="570" w:type="dxa"/>
            <w:noWrap w:val="0"/>
            <w:vAlign w:val="center"/>
          </w:tcPr>
          <w:p w14:paraId="17D0C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</w:t>
            </w:r>
          </w:p>
        </w:tc>
        <w:tc>
          <w:tcPr>
            <w:tcW w:w="2070" w:type="dxa"/>
            <w:noWrap w:val="0"/>
            <w:vAlign w:val="center"/>
          </w:tcPr>
          <w:p w14:paraId="681F28F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简化管理单位</w:t>
            </w:r>
          </w:p>
        </w:tc>
        <w:tc>
          <w:tcPr>
            <w:tcW w:w="1065" w:type="dxa"/>
            <w:noWrap w:val="0"/>
            <w:vAlign w:val="center"/>
          </w:tcPr>
          <w:p w14:paraId="530ED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4%≤X≤7%</w:t>
            </w:r>
          </w:p>
        </w:tc>
        <w:tc>
          <w:tcPr>
            <w:tcW w:w="472" w:type="dxa"/>
            <w:noWrap w:val="0"/>
            <w:vAlign w:val="center"/>
          </w:tcPr>
          <w:p w14:paraId="09CA4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41DB9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2" w:hRule="exact"/>
        </w:trPr>
        <w:tc>
          <w:tcPr>
            <w:tcW w:w="468" w:type="dxa"/>
            <w:vMerge w:val="continue"/>
            <w:noWrap w:val="0"/>
            <w:vAlign w:val="center"/>
          </w:tcPr>
          <w:p w14:paraId="1AF37965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668" w:type="dxa"/>
            <w:vMerge w:val="continue"/>
            <w:noWrap w:val="0"/>
            <w:vAlign w:val="center"/>
          </w:tcPr>
          <w:p w14:paraId="620DE36B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480" w:type="dxa"/>
            <w:noWrap w:val="0"/>
            <w:vAlign w:val="center"/>
          </w:tcPr>
          <w:p w14:paraId="7779DDF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违法行为持续时间</w:t>
            </w:r>
          </w:p>
          <w:p w14:paraId="45E4FBC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（2026年5月初开始间断性生产15天）</w:t>
            </w:r>
          </w:p>
        </w:tc>
        <w:tc>
          <w:tcPr>
            <w:tcW w:w="570" w:type="dxa"/>
            <w:noWrap w:val="0"/>
            <w:vAlign w:val="center"/>
          </w:tcPr>
          <w:p w14:paraId="5E0F60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%</w:t>
            </w:r>
          </w:p>
        </w:tc>
        <w:tc>
          <w:tcPr>
            <w:tcW w:w="2070" w:type="dxa"/>
            <w:noWrap w:val="0"/>
            <w:vAlign w:val="center"/>
          </w:tcPr>
          <w:p w14:paraId="43A7A7C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15天以上</w:t>
            </w:r>
          </w:p>
        </w:tc>
        <w:tc>
          <w:tcPr>
            <w:tcW w:w="1065" w:type="dxa"/>
            <w:noWrap w:val="0"/>
            <w:vAlign w:val="center"/>
          </w:tcPr>
          <w:p w14:paraId="50270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</w:t>
            </w:r>
          </w:p>
        </w:tc>
        <w:tc>
          <w:tcPr>
            <w:tcW w:w="472" w:type="dxa"/>
            <w:noWrap w:val="0"/>
            <w:vAlign w:val="center"/>
          </w:tcPr>
          <w:p w14:paraId="06888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60674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7" w:hRule="exact"/>
        </w:trPr>
        <w:tc>
          <w:tcPr>
            <w:tcW w:w="468" w:type="dxa"/>
            <w:vMerge w:val="continue"/>
            <w:noWrap w:val="0"/>
            <w:vAlign w:val="center"/>
          </w:tcPr>
          <w:p w14:paraId="5A45610C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668" w:type="dxa"/>
            <w:vMerge w:val="continue"/>
            <w:noWrap w:val="0"/>
            <w:vAlign w:val="center"/>
          </w:tcPr>
          <w:p w14:paraId="77FB19A6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480" w:type="dxa"/>
            <w:noWrap w:val="0"/>
            <w:vAlign w:val="center"/>
          </w:tcPr>
          <w:p w14:paraId="59BB2A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排污类别</w:t>
            </w:r>
          </w:p>
        </w:tc>
        <w:tc>
          <w:tcPr>
            <w:tcW w:w="570" w:type="dxa"/>
            <w:noWrap w:val="0"/>
            <w:vAlign w:val="center"/>
          </w:tcPr>
          <w:p w14:paraId="70829F2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10%</w:t>
            </w:r>
          </w:p>
        </w:tc>
        <w:tc>
          <w:tcPr>
            <w:tcW w:w="2070" w:type="dxa"/>
            <w:noWrap w:val="0"/>
            <w:vAlign w:val="center"/>
          </w:tcPr>
          <w:p w14:paraId="331AE1E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除有毒有害大气、水污染物以外的大气、水污染物</w:t>
            </w:r>
          </w:p>
        </w:tc>
        <w:tc>
          <w:tcPr>
            <w:tcW w:w="1065" w:type="dxa"/>
            <w:noWrap w:val="0"/>
            <w:vAlign w:val="center"/>
          </w:tcPr>
          <w:p w14:paraId="68851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4%≤X≤7%</w:t>
            </w:r>
          </w:p>
        </w:tc>
        <w:tc>
          <w:tcPr>
            <w:tcW w:w="472" w:type="dxa"/>
            <w:noWrap w:val="0"/>
            <w:vAlign w:val="center"/>
          </w:tcPr>
          <w:p w14:paraId="5E4EE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</w:tr>
      <w:tr w14:paraId="12147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42" w:hRule="exact"/>
        </w:trPr>
        <w:tc>
          <w:tcPr>
            <w:tcW w:w="468" w:type="dxa"/>
            <w:vMerge w:val="continue"/>
            <w:noWrap w:val="0"/>
            <w:vAlign w:val="center"/>
          </w:tcPr>
          <w:p w14:paraId="239A8129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668" w:type="dxa"/>
            <w:vMerge w:val="continue"/>
            <w:noWrap w:val="0"/>
            <w:vAlign w:val="center"/>
          </w:tcPr>
          <w:p w14:paraId="6EA00D1D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480" w:type="dxa"/>
            <w:vMerge w:val="restart"/>
            <w:noWrap w:val="0"/>
            <w:vAlign w:val="center"/>
          </w:tcPr>
          <w:p w14:paraId="005E1DA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排放量</w:t>
            </w:r>
          </w:p>
          <w:p w14:paraId="0C9217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（依据《山阴宏岩建材有限公司扩建砂石生产线建设项目环境影响报告表》中废气治理设施设计参数，核算生产线有组织废气小时总烟气流量：颚式破碎工序16000m³/h、反击破机制砂工序18000m³/h、振动筛分工序20000m³/h，三项合计54000标立方米/小时。对照行政处罚自由裁量裁量表排放量分级标准，该流量处于1万标立方米≤Q＜20万标立方米区间。）</w:t>
            </w:r>
          </w:p>
        </w:tc>
        <w:tc>
          <w:tcPr>
            <w:tcW w:w="570" w:type="dxa"/>
            <w:noWrap w:val="0"/>
            <w:vAlign w:val="center"/>
          </w:tcPr>
          <w:p w14:paraId="22FF9F4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10%</w:t>
            </w:r>
          </w:p>
        </w:tc>
        <w:tc>
          <w:tcPr>
            <w:tcW w:w="2070" w:type="dxa"/>
            <w:noWrap w:val="0"/>
            <w:vAlign w:val="center"/>
          </w:tcPr>
          <w:p w14:paraId="322DBF4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气：小时烟气流量：1 万标立方米≤Q ＜20 万标立方米</w:t>
            </w:r>
          </w:p>
        </w:tc>
        <w:tc>
          <w:tcPr>
            <w:tcW w:w="1065" w:type="dxa"/>
            <w:noWrap w:val="0"/>
            <w:vAlign w:val="center"/>
          </w:tcPr>
          <w:p w14:paraId="6617D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7%＜X＜10%</w:t>
            </w:r>
          </w:p>
        </w:tc>
        <w:tc>
          <w:tcPr>
            <w:tcW w:w="472" w:type="dxa"/>
            <w:noWrap w:val="0"/>
            <w:vAlign w:val="center"/>
          </w:tcPr>
          <w:p w14:paraId="1DA9C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8%</w:t>
            </w:r>
          </w:p>
        </w:tc>
      </w:tr>
      <w:tr w14:paraId="3CBAF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0" w:hRule="exact"/>
        </w:trPr>
        <w:tc>
          <w:tcPr>
            <w:tcW w:w="468" w:type="dxa"/>
            <w:vMerge w:val="continue"/>
            <w:noWrap w:val="0"/>
            <w:vAlign w:val="center"/>
          </w:tcPr>
          <w:p w14:paraId="51A916FE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668" w:type="dxa"/>
            <w:vMerge w:val="continue"/>
            <w:noWrap w:val="0"/>
            <w:vAlign w:val="center"/>
          </w:tcPr>
          <w:p w14:paraId="5EDCF320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480" w:type="dxa"/>
            <w:vMerge w:val="continue"/>
            <w:noWrap w:val="0"/>
            <w:vAlign w:val="center"/>
          </w:tcPr>
          <w:p w14:paraId="1307A61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</w:p>
        </w:tc>
        <w:tc>
          <w:tcPr>
            <w:tcW w:w="4177" w:type="dxa"/>
            <w:gridSpan w:val="4"/>
            <w:noWrap w:val="0"/>
            <w:vAlign w:val="center"/>
          </w:tcPr>
          <w:p w14:paraId="4D7F6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注：结合实际情况，选择最重的情形处罚</w:t>
            </w:r>
          </w:p>
        </w:tc>
      </w:tr>
      <w:tr w14:paraId="7310D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29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94CD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2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77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整改情况</w:t>
            </w:r>
          </w:p>
        </w:tc>
        <w:tc>
          <w:tcPr>
            <w:tcW w:w="3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9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是否停止违法并进行改正       （2026年7月10日执法人员对该公司的责令改正情况进行复查，发现该公司扩建项目未生产，已与第三方签订排污许可证申领技术服务合同。）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F1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25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已停止违法，未进行改正</w:t>
            </w:r>
          </w:p>
        </w:tc>
        <w:tc>
          <w:tcPr>
            <w:tcW w:w="1065" w:type="dxa"/>
            <w:tcBorders>
              <w:left w:val="single" w:color="auto" w:sz="4" w:space="0"/>
            </w:tcBorders>
            <w:noWrap w:val="0"/>
            <w:vAlign w:val="center"/>
          </w:tcPr>
          <w:p w14:paraId="36E99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3%≤X≤9%</w:t>
            </w:r>
          </w:p>
        </w:tc>
        <w:tc>
          <w:tcPr>
            <w:tcW w:w="472" w:type="dxa"/>
            <w:tcBorders>
              <w:left w:val="single" w:color="auto" w:sz="4" w:space="0"/>
            </w:tcBorders>
            <w:noWrap w:val="0"/>
            <w:vAlign w:val="center"/>
          </w:tcPr>
          <w:p w14:paraId="38DB7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4%</w:t>
            </w:r>
          </w:p>
        </w:tc>
      </w:tr>
      <w:tr w14:paraId="09FFB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19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09B5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en-US"/>
              </w:rPr>
              <w:t>3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39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社会影响和生态破坏程度</w:t>
            </w:r>
          </w:p>
        </w:tc>
        <w:tc>
          <w:tcPr>
            <w:tcW w:w="3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36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是否造成社会影响和生态破坏</w:t>
            </w:r>
          </w:p>
          <w:p w14:paraId="4FE4F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（该案件一次有效投诉，造成的社会影响和生态破坏程度轻微）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8F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D6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轻微（1级）</w:t>
            </w:r>
          </w:p>
        </w:tc>
        <w:tc>
          <w:tcPr>
            <w:tcW w:w="1065" w:type="dxa"/>
            <w:tcBorders>
              <w:left w:val="single" w:color="auto" w:sz="4" w:space="0"/>
            </w:tcBorders>
            <w:noWrap w:val="0"/>
            <w:vAlign w:val="center"/>
          </w:tcPr>
          <w:p w14:paraId="49EB555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4" w:line="240" w:lineRule="exact"/>
              <w:ind w:right="75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1%≤X≤5%</w:t>
            </w:r>
          </w:p>
        </w:tc>
        <w:tc>
          <w:tcPr>
            <w:tcW w:w="472" w:type="dxa"/>
            <w:tcBorders>
              <w:left w:val="single" w:color="auto" w:sz="4" w:space="0"/>
            </w:tcBorders>
            <w:noWrap w:val="0"/>
            <w:vAlign w:val="center"/>
          </w:tcPr>
          <w:p w14:paraId="46AE8C1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2%</w:t>
            </w:r>
          </w:p>
        </w:tc>
      </w:tr>
      <w:tr w14:paraId="21285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" w:hRule="exact"/>
        </w:trPr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10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4</w:t>
            </w:r>
          </w:p>
        </w:tc>
        <w:tc>
          <w:tcPr>
            <w:tcW w:w="6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8A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经济承受度</w:t>
            </w:r>
          </w:p>
        </w:tc>
        <w:tc>
          <w:tcPr>
            <w:tcW w:w="34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4D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企业规模大小</w:t>
            </w:r>
          </w:p>
          <w:p w14:paraId="61EE1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（从业人员12人）</w:t>
            </w:r>
          </w:p>
        </w:tc>
        <w:tc>
          <w:tcPr>
            <w:tcW w:w="57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B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39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小型企事业单位</w:t>
            </w:r>
          </w:p>
          <w:p w14:paraId="6785B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（涉公益单位）</w:t>
            </w:r>
          </w:p>
        </w:tc>
        <w:tc>
          <w:tcPr>
            <w:tcW w:w="1065" w:type="dxa"/>
            <w:tcBorders>
              <w:left w:val="single" w:color="auto" w:sz="4" w:space="0"/>
            </w:tcBorders>
            <w:noWrap w:val="0"/>
            <w:vAlign w:val="center"/>
          </w:tcPr>
          <w:p w14:paraId="0A6B8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-2"/>
                <w:kern w:val="0"/>
                <w:position w:val="1"/>
                <w:sz w:val="21"/>
                <w:lang w:eastAsia="en-US" w:bidi="zh-CN"/>
              </w:rPr>
              <w:t>－3%≤X＜0</w:t>
            </w:r>
          </w:p>
        </w:tc>
        <w:tc>
          <w:tcPr>
            <w:tcW w:w="472" w:type="dxa"/>
            <w:tcBorders>
              <w:left w:val="single" w:color="auto" w:sz="4" w:space="0"/>
            </w:tcBorders>
            <w:noWrap w:val="0"/>
            <w:vAlign w:val="center"/>
          </w:tcPr>
          <w:p w14:paraId="507C5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-2%</w:t>
            </w:r>
          </w:p>
        </w:tc>
      </w:tr>
      <w:tr w14:paraId="1321F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2" w:hRule="exact"/>
        </w:trPr>
        <w:tc>
          <w:tcPr>
            <w:tcW w:w="4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63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5</w:t>
            </w:r>
          </w:p>
        </w:tc>
        <w:tc>
          <w:tcPr>
            <w:tcW w:w="6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D2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地区差异</w:t>
            </w:r>
          </w:p>
        </w:tc>
        <w:tc>
          <w:tcPr>
            <w:tcW w:w="34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5F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zh-CN" w:eastAsia="en-US" w:bidi="zh-CN"/>
              </w:rPr>
              <w:t>经济社会发展程度及环境容量的大小</w:t>
            </w:r>
          </w:p>
        </w:tc>
        <w:tc>
          <w:tcPr>
            <w:tcW w:w="5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DF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BF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各地级市可以结合实际自行确定地区差异，裁量比例数值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（加减５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）</w:t>
            </w:r>
          </w:p>
        </w:tc>
        <w:tc>
          <w:tcPr>
            <w:tcW w:w="106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412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－5%≤X≤5%</w:t>
            </w:r>
          </w:p>
        </w:tc>
        <w:tc>
          <w:tcPr>
            <w:tcW w:w="472" w:type="dxa"/>
            <w:tcBorders>
              <w:left w:val="single" w:color="auto" w:sz="4" w:space="0"/>
            </w:tcBorders>
            <w:noWrap w:val="0"/>
            <w:vAlign w:val="center"/>
          </w:tcPr>
          <w:p w14:paraId="3E73C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</w:tr>
      <w:tr w14:paraId="751D7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7" w:hRule="exact"/>
        </w:trPr>
        <w:tc>
          <w:tcPr>
            <w:tcW w:w="83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91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8"/>
                <w:szCs w:val="28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  <w:t>合  计</w:t>
            </w:r>
          </w:p>
        </w:tc>
        <w:tc>
          <w:tcPr>
            <w:tcW w:w="472" w:type="dxa"/>
            <w:tcBorders>
              <w:left w:val="single" w:color="auto" w:sz="4" w:space="0"/>
            </w:tcBorders>
            <w:noWrap w:val="0"/>
            <w:vAlign w:val="center"/>
          </w:tcPr>
          <w:p w14:paraId="14F35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42%</w:t>
            </w:r>
          </w:p>
        </w:tc>
      </w:tr>
    </w:tbl>
    <w:p w14:paraId="05409CC5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计算方法 </w:t>
      </w:r>
    </w:p>
    <w:p w14:paraId="5A340245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本裁量表格计算方法： </w:t>
      </w:r>
    </w:p>
    <w:p w14:paraId="45985201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/>
          <w:bCs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>罚款金额=百分值之和×最高法定罚款上限100万元。罚款金额按“千”取整，不得低于法定限额</w:t>
      </w:r>
    </w:p>
    <w:p w14:paraId="758093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31A0A"/>
    <w:rsid w:val="68E3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jc w:val="left"/>
      <w:outlineLvl w:val="2"/>
    </w:pPr>
    <w:rPr>
      <w:rFonts w:eastAsia="微软雅黑"/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table" w:customStyle="1" w:styleId="6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2026-08-10T02:17:00Z</dcterms:created>
  <dc:creator>151****3006</dc:creator>
  <cp:lastModifiedBy>151****3006</cp:lastModifiedBy>
  <dcterms:modified xsi:type="dcterms:W3CDTF">2026-08-10T02:18:00Z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28CD2E23BCA74ADFA82C828CE1833D90_11</vt:lpwstr>
  </property>
  <property fmtid="{D5CDD505-2E9C-101B-9397-08002B2CF9AE}" pid="4" name="KSOTemplateDocerSaveRecord">
    <vt:lpwstr>eyJoZGlkIjoiN2QzZjRiYmU0ODZjNDZhYWRkMmQ5MTNhYjEyZmFhOWQiLCJ1c2VySWQiOiI0NzExNjk4MTUifQ==</vt:lpwstr>
  </property>
</Properties>
</file>