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B9F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48F3CB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XXXX矿业工程有限责任公司XX煤炭分公司</w:t>
      </w:r>
    </w:p>
    <w:p w14:paraId="01B214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违反控制、减少粉尘和气态污染物排放制度的罚款幅度裁定</w:t>
      </w:r>
    </w:p>
    <w:bookmarkEnd w:id="0"/>
    <w:tbl>
      <w:tblPr>
        <w:tblStyle w:val="5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385"/>
        <w:gridCol w:w="2833"/>
        <w:gridCol w:w="645"/>
        <w:gridCol w:w="1440"/>
        <w:gridCol w:w="1305"/>
        <w:gridCol w:w="717"/>
      </w:tblGrid>
      <w:tr w14:paraId="7C37F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9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5B32DFD4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4BA8373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4863" w:type="dxa"/>
            <w:gridSpan w:val="3"/>
            <w:noWrap w:val="0"/>
            <w:vAlign w:val="center"/>
          </w:tcPr>
          <w:p w14:paraId="52EF757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2745" w:type="dxa"/>
            <w:gridSpan w:val="2"/>
            <w:noWrap w:val="0"/>
            <w:vAlign w:val="center"/>
          </w:tcPr>
          <w:p w14:paraId="6BA857BE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717" w:type="dxa"/>
            <w:vMerge w:val="restart"/>
            <w:noWrap w:val="0"/>
            <w:vAlign w:val="center"/>
          </w:tcPr>
          <w:p w14:paraId="5FB2DE44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6FE30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4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2DDE0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36BF8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2833" w:type="dxa"/>
            <w:noWrap w:val="0"/>
            <w:vAlign w:val="center"/>
          </w:tcPr>
          <w:p w14:paraId="3683E0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645" w:type="dxa"/>
            <w:noWrap w:val="0"/>
            <w:vAlign w:val="center"/>
          </w:tcPr>
          <w:p w14:paraId="769E31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1440" w:type="dxa"/>
            <w:noWrap w:val="0"/>
            <w:vAlign w:val="center"/>
          </w:tcPr>
          <w:p w14:paraId="74569C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305" w:type="dxa"/>
            <w:noWrap w:val="0"/>
            <w:vAlign w:val="center"/>
          </w:tcPr>
          <w:p w14:paraId="55BAA7F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717" w:type="dxa"/>
            <w:vMerge w:val="continue"/>
            <w:noWrap w:val="0"/>
            <w:vAlign w:val="center"/>
          </w:tcPr>
          <w:p w14:paraId="551319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51D5C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4" w:hRule="exact"/>
        </w:trPr>
        <w:tc>
          <w:tcPr>
            <w:tcW w:w="468" w:type="dxa"/>
            <w:vMerge w:val="restart"/>
            <w:noWrap w:val="0"/>
            <w:vAlign w:val="center"/>
          </w:tcPr>
          <w:p w14:paraId="385A9ED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1385" w:type="dxa"/>
            <w:vMerge w:val="restart"/>
            <w:noWrap w:val="0"/>
            <w:vAlign w:val="center"/>
          </w:tcPr>
          <w:p w14:paraId="558280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2833" w:type="dxa"/>
            <w:noWrap w:val="0"/>
            <w:vAlign w:val="center"/>
          </w:tcPr>
          <w:p w14:paraId="706AD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违法行为类型</w:t>
            </w:r>
          </w:p>
          <w:p w14:paraId="3C82D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（工业广场东侧露天堆放原煤约1000吨，未采取围挡、覆盖等抑尘措施；厂区运输道路煤粉积尘较厚，拉运车辆出场行驶过程中扬尘污染严重）</w:t>
            </w:r>
          </w:p>
        </w:tc>
        <w:tc>
          <w:tcPr>
            <w:tcW w:w="645" w:type="dxa"/>
            <w:noWrap w:val="0"/>
            <w:vAlign w:val="center"/>
          </w:tcPr>
          <w:p w14:paraId="6FC90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440" w:type="dxa"/>
            <w:noWrap w:val="0"/>
            <w:vAlign w:val="center"/>
          </w:tcPr>
          <w:p w14:paraId="69E5D7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应围挡、遮盖的</w:t>
            </w:r>
          </w:p>
        </w:tc>
        <w:tc>
          <w:tcPr>
            <w:tcW w:w="1305" w:type="dxa"/>
            <w:noWrap w:val="0"/>
            <w:vAlign w:val="center"/>
          </w:tcPr>
          <w:p w14:paraId="090B2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10%＜X≤15%</w:t>
            </w:r>
          </w:p>
        </w:tc>
        <w:tc>
          <w:tcPr>
            <w:tcW w:w="717" w:type="dxa"/>
            <w:noWrap w:val="0"/>
            <w:vAlign w:val="center"/>
          </w:tcPr>
          <w:p w14:paraId="5851C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14%</w:t>
            </w:r>
          </w:p>
        </w:tc>
      </w:tr>
      <w:tr w14:paraId="6A9E2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7" w:hRule="exact"/>
        </w:trPr>
        <w:tc>
          <w:tcPr>
            <w:tcW w:w="468" w:type="dxa"/>
            <w:vMerge w:val="continue"/>
            <w:noWrap w:val="0"/>
            <w:vAlign w:val="center"/>
          </w:tcPr>
          <w:p w14:paraId="40816FC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46ADD4B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33" w:type="dxa"/>
            <w:noWrap w:val="0"/>
            <w:vAlign w:val="center"/>
          </w:tcPr>
          <w:p w14:paraId="0D78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排污去向</w:t>
            </w:r>
          </w:p>
          <w:p w14:paraId="208FC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（该公司位于山阴县玉井镇史家屯村东的其他区域）</w:t>
            </w:r>
          </w:p>
        </w:tc>
        <w:tc>
          <w:tcPr>
            <w:tcW w:w="645" w:type="dxa"/>
            <w:noWrap w:val="0"/>
            <w:vAlign w:val="center"/>
          </w:tcPr>
          <w:p w14:paraId="40B55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1440" w:type="dxa"/>
            <w:noWrap w:val="0"/>
            <w:vAlign w:val="center"/>
          </w:tcPr>
          <w:p w14:paraId="0DDABA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其他地区</w:t>
            </w:r>
          </w:p>
        </w:tc>
        <w:tc>
          <w:tcPr>
            <w:tcW w:w="1305" w:type="dxa"/>
            <w:noWrap w:val="0"/>
            <w:vAlign w:val="center"/>
          </w:tcPr>
          <w:p w14:paraId="4585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1%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X≤5%</w:t>
            </w:r>
          </w:p>
        </w:tc>
        <w:tc>
          <w:tcPr>
            <w:tcW w:w="717" w:type="dxa"/>
            <w:noWrap w:val="0"/>
            <w:vAlign w:val="center"/>
          </w:tcPr>
          <w:p w14:paraId="17F1E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48577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7" w:hRule="exact"/>
        </w:trPr>
        <w:tc>
          <w:tcPr>
            <w:tcW w:w="468" w:type="dxa"/>
            <w:vMerge w:val="continue"/>
            <w:noWrap w:val="0"/>
            <w:vAlign w:val="center"/>
          </w:tcPr>
          <w:p w14:paraId="5FF4FA34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5D09D54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33" w:type="dxa"/>
            <w:noWrap w:val="0"/>
            <w:vAlign w:val="center"/>
          </w:tcPr>
          <w:p w14:paraId="007D21C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废气类别</w:t>
            </w:r>
          </w:p>
        </w:tc>
        <w:tc>
          <w:tcPr>
            <w:tcW w:w="645" w:type="dxa"/>
            <w:noWrap w:val="0"/>
            <w:vAlign w:val="center"/>
          </w:tcPr>
          <w:p w14:paraId="1E3958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%</w:t>
            </w:r>
          </w:p>
        </w:tc>
        <w:tc>
          <w:tcPr>
            <w:tcW w:w="1440" w:type="dxa"/>
            <w:noWrap w:val="0"/>
            <w:vAlign w:val="center"/>
          </w:tcPr>
          <w:p w14:paraId="0715EA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其他扬尘</w:t>
            </w:r>
          </w:p>
        </w:tc>
        <w:tc>
          <w:tcPr>
            <w:tcW w:w="1305" w:type="dxa"/>
            <w:noWrap w:val="0"/>
            <w:vAlign w:val="center"/>
          </w:tcPr>
          <w:p w14:paraId="495EF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</w:p>
        </w:tc>
        <w:tc>
          <w:tcPr>
            <w:tcW w:w="717" w:type="dxa"/>
            <w:noWrap w:val="0"/>
            <w:vAlign w:val="center"/>
          </w:tcPr>
          <w:p w14:paraId="3CA31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26B2A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2" w:hRule="exact"/>
        </w:trPr>
        <w:tc>
          <w:tcPr>
            <w:tcW w:w="468" w:type="dxa"/>
            <w:vMerge w:val="continue"/>
            <w:noWrap w:val="0"/>
            <w:vAlign w:val="center"/>
          </w:tcPr>
          <w:p w14:paraId="0781C0C9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0E0BE73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33" w:type="dxa"/>
            <w:noWrap w:val="0"/>
            <w:vAlign w:val="center"/>
          </w:tcPr>
          <w:p w14:paraId="20D8D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  <w:p w14:paraId="218C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（2026年6月8日开始露天堆存，至今大约14天）</w:t>
            </w:r>
          </w:p>
        </w:tc>
        <w:tc>
          <w:tcPr>
            <w:tcW w:w="645" w:type="dxa"/>
            <w:noWrap w:val="0"/>
            <w:vAlign w:val="center"/>
          </w:tcPr>
          <w:p w14:paraId="13C83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440" w:type="dxa"/>
            <w:noWrap w:val="0"/>
            <w:vAlign w:val="center"/>
          </w:tcPr>
          <w:p w14:paraId="052E3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不足1个月</w:t>
            </w:r>
          </w:p>
        </w:tc>
        <w:tc>
          <w:tcPr>
            <w:tcW w:w="1305" w:type="dxa"/>
            <w:noWrap w:val="0"/>
            <w:vAlign w:val="center"/>
          </w:tcPr>
          <w:p w14:paraId="41A4A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3%≤X≤5%</w:t>
            </w:r>
          </w:p>
        </w:tc>
        <w:tc>
          <w:tcPr>
            <w:tcW w:w="717" w:type="dxa"/>
            <w:noWrap w:val="0"/>
            <w:vAlign w:val="center"/>
          </w:tcPr>
          <w:p w14:paraId="5E766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4%</w:t>
            </w:r>
          </w:p>
        </w:tc>
      </w:tr>
      <w:tr w14:paraId="3E6DD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2" w:hRule="exact"/>
        </w:trPr>
        <w:tc>
          <w:tcPr>
            <w:tcW w:w="468" w:type="dxa"/>
            <w:vMerge w:val="continue"/>
            <w:noWrap w:val="0"/>
            <w:vAlign w:val="center"/>
          </w:tcPr>
          <w:p w14:paraId="0BCE0EF6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067BF12E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833" w:type="dxa"/>
            <w:noWrap w:val="0"/>
            <w:vAlign w:val="center"/>
          </w:tcPr>
          <w:p w14:paraId="173C0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两年内违反次数</w:t>
            </w:r>
          </w:p>
          <w:p w14:paraId="693A6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（自2024年6月以来该公司未接受过生态环境部门的行政处罚）</w:t>
            </w:r>
          </w:p>
        </w:tc>
        <w:tc>
          <w:tcPr>
            <w:tcW w:w="645" w:type="dxa"/>
            <w:noWrap w:val="0"/>
            <w:vAlign w:val="center"/>
          </w:tcPr>
          <w:p w14:paraId="1DC5B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1440" w:type="dxa"/>
            <w:noWrap w:val="0"/>
            <w:vAlign w:val="center"/>
          </w:tcPr>
          <w:p w14:paraId="1644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0次</w:t>
            </w:r>
          </w:p>
        </w:tc>
        <w:tc>
          <w:tcPr>
            <w:tcW w:w="1305" w:type="dxa"/>
            <w:noWrap w:val="0"/>
            <w:vAlign w:val="center"/>
          </w:tcPr>
          <w:p w14:paraId="79871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en-US" w:bidi="zh-CN"/>
              </w:rPr>
              <w:t>0</w:t>
            </w:r>
          </w:p>
        </w:tc>
        <w:tc>
          <w:tcPr>
            <w:tcW w:w="717" w:type="dxa"/>
            <w:noWrap w:val="0"/>
            <w:vAlign w:val="center"/>
          </w:tcPr>
          <w:p w14:paraId="20AA1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0%</w:t>
            </w:r>
          </w:p>
        </w:tc>
      </w:tr>
      <w:tr w14:paraId="74FDD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89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E84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74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17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是否停止违法并进行改正</w:t>
            </w:r>
          </w:p>
          <w:p w14:paraId="35B05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（2026年7月6日执法人员对该公司的责令改正情况进行复查，发现该公司工业广场东侧露天堆放的1000吨原煤已清理，厂区运输道路全面清扫）</w:t>
            </w:r>
          </w:p>
          <w:p w14:paraId="79A9D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00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85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已停止违法，且进行完全改正</w:t>
            </w:r>
          </w:p>
        </w:tc>
        <w:tc>
          <w:tcPr>
            <w:tcW w:w="1305" w:type="dxa"/>
            <w:tcBorders>
              <w:left w:val="single" w:color="auto" w:sz="4" w:space="0"/>
            </w:tcBorders>
            <w:noWrap w:val="0"/>
            <w:vAlign w:val="center"/>
          </w:tcPr>
          <w:p w14:paraId="78AE7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0</w:t>
            </w:r>
          </w:p>
        </w:tc>
        <w:tc>
          <w:tcPr>
            <w:tcW w:w="717" w:type="dxa"/>
            <w:tcBorders>
              <w:left w:val="single" w:color="auto" w:sz="4" w:space="0"/>
            </w:tcBorders>
            <w:noWrap w:val="0"/>
            <w:vAlign w:val="center"/>
          </w:tcPr>
          <w:p w14:paraId="397F7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0%</w:t>
            </w:r>
          </w:p>
        </w:tc>
      </w:tr>
      <w:tr w14:paraId="4FED6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54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2B9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5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E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是否造成社会影响和生态破坏</w:t>
            </w:r>
          </w:p>
          <w:p w14:paraId="496EC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（该案件未能收集到造成社会影响和生态破坏程度的相关证据）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35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13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1305" w:type="dxa"/>
            <w:tcBorders>
              <w:left w:val="single" w:color="auto" w:sz="4" w:space="0"/>
            </w:tcBorders>
            <w:noWrap w:val="0"/>
            <w:vAlign w:val="center"/>
          </w:tcPr>
          <w:p w14:paraId="45701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0</w:t>
            </w:r>
          </w:p>
        </w:tc>
        <w:tc>
          <w:tcPr>
            <w:tcW w:w="717" w:type="dxa"/>
            <w:tcBorders>
              <w:left w:val="single" w:color="auto" w:sz="4" w:space="0"/>
            </w:tcBorders>
            <w:noWrap w:val="0"/>
            <w:vAlign w:val="center"/>
          </w:tcPr>
          <w:p w14:paraId="7B9BD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0%</w:t>
            </w:r>
          </w:p>
        </w:tc>
      </w:tr>
      <w:tr w14:paraId="2E5BF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9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D9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31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28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7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6A470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（从业人员237）</w:t>
            </w: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A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9C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小型企事业单位</w:t>
            </w:r>
          </w:p>
        </w:tc>
        <w:tc>
          <w:tcPr>
            <w:tcW w:w="1305" w:type="dxa"/>
            <w:tcBorders>
              <w:left w:val="single" w:color="auto" w:sz="4" w:space="0"/>
            </w:tcBorders>
            <w:noWrap w:val="0"/>
            <w:vAlign w:val="center"/>
          </w:tcPr>
          <w:p w14:paraId="6945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－3%≤X＜0</w:t>
            </w:r>
          </w:p>
        </w:tc>
        <w:tc>
          <w:tcPr>
            <w:tcW w:w="717" w:type="dxa"/>
            <w:tcBorders>
              <w:left w:val="single" w:color="auto" w:sz="4" w:space="0"/>
            </w:tcBorders>
            <w:noWrap w:val="0"/>
            <w:vAlign w:val="center"/>
          </w:tcPr>
          <w:p w14:paraId="5F8D4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-1%</w:t>
            </w:r>
          </w:p>
        </w:tc>
      </w:tr>
      <w:tr w14:paraId="3E022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12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C5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 w:bidi="zh-CN"/>
              </w:rPr>
              <w:t>5</w:t>
            </w:r>
          </w:p>
        </w:tc>
        <w:tc>
          <w:tcPr>
            <w:tcW w:w="13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EE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zh-CN" w:eastAsia="zh-CN" w:bidi="zh-CN"/>
              </w:rPr>
              <w:t>地区差异</w:t>
            </w:r>
          </w:p>
        </w:tc>
        <w:tc>
          <w:tcPr>
            <w:tcW w:w="28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2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6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9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5%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8A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1"/>
                <w:lang w:val="zh-CN" w:eastAsia="en-US" w:bidi="zh-CN"/>
              </w:rPr>
              <w:t>）</w:t>
            </w:r>
          </w:p>
        </w:tc>
        <w:tc>
          <w:tcPr>
            <w:tcW w:w="130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442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－5%≤X≤5%</w:t>
            </w:r>
          </w:p>
        </w:tc>
        <w:tc>
          <w:tcPr>
            <w:tcW w:w="717" w:type="dxa"/>
            <w:tcBorders>
              <w:left w:val="single" w:color="auto" w:sz="4" w:space="0"/>
            </w:tcBorders>
            <w:noWrap w:val="0"/>
            <w:vAlign w:val="center"/>
          </w:tcPr>
          <w:p w14:paraId="0E15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</w:tr>
      <w:tr w14:paraId="421F7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2" w:hRule="exact"/>
        </w:trPr>
        <w:tc>
          <w:tcPr>
            <w:tcW w:w="80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C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合  计</w:t>
            </w:r>
          </w:p>
        </w:tc>
        <w:tc>
          <w:tcPr>
            <w:tcW w:w="717" w:type="dxa"/>
            <w:tcBorders>
              <w:left w:val="single" w:color="auto" w:sz="4" w:space="0"/>
            </w:tcBorders>
            <w:noWrap w:val="0"/>
            <w:vAlign w:val="center"/>
          </w:tcPr>
          <w:p w14:paraId="69C9B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25%</w:t>
            </w:r>
          </w:p>
        </w:tc>
      </w:tr>
    </w:tbl>
    <w:p w14:paraId="1B3D0A3F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计算方法 </w:t>
      </w:r>
    </w:p>
    <w:p w14:paraId="02B59C7E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238B97F6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罚款金额=百分值之和×最高法定罚款上限 20万元，罚款金额按“千”取整，不得低于法 </w:t>
      </w:r>
    </w:p>
    <w:p w14:paraId="1D3DC1BA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08" w:firstLineChars="200"/>
        <w:textAlignment w:val="auto"/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定限额。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92D35"/>
    <w:rsid w:val="1019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5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2026-08-20T01:40:00Z</dcterms:created>
  <dc:creator>151****3006</dc:creator>
  <cp:lastModifiedBy>151****3006</cp:lastModifiedBy>
  <dcterms:modified xsi:type="dcterms:W3CDTF">2026-08-20T01:41:59Z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22823E2688DA4F6F9C2A9D79DBCC997F_11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