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ind w:firstLine="3534" w:firstLineChars="11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人民调解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1、基本情况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山阴县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现有各级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人民调解委员会共22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个、个人调解室1个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。其中，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乡镇人民调解委员会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12个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人民调解委员会20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个、行业性专业性6个，共有调解员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至9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份，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人民调解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共成功调解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纠纷261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起，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调解成功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率达98.2%</w:t>
      </w:r>
      <w:r>
        <w:rPr>
          <w:rFonts w:hint="eastAsia" w:eastAsia="仿宋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涉及金额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1383.25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万。 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工作机制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将人民调解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程序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细化为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受理、调查、调解、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签订协议、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回访确认六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步骤；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推行了人民调解与法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宣传、法律服务、司法调解、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调解、访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五个对接；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三是根据调解案件一般、疑难、重大等级，对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调解员实行以案定补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；四是选聘133名优秀网格员兼职人民调解员，发挥网格员和</w:t>
      </w:r>
      <w:r>
        <w:rPr>
          <w:rFonts w:hint="eastAsia" w:ascii="仿宋" w:hAnsi="仿宋" w:eastAsia="仿宋" w:cs="仿宋"/>
          <w:sz w:val="32"/>
          <w:szCs w:val="32"/>
        </w:rPr>
        <w:t>调解员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扎根基层、接近群众、信息源广，</w:t>
      </w:r>
      <w:r>
        <w:rPr>
          <w:rFonts w:hint="eastAsia" w:ascii="仿宋" w:hAnsi="仿宋" w:eastAsia="仿宋" w:cs="仿宋"/>
          <w:sz w:val="32"/>
          <w:szCs w:val="32"/>
        </w:rPr>
        <w:t>网格员侧重收集信息，调解员侧重化解矛盾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的优势形成合力，共同推进我县人民调解工作再上新台阶；五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是调解宣传相结合，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络、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乡村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进物业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进综超市场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进信访大厅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进派出所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进法庭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学校，累计发放各类宣传资料38200份。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TIyMTBiYWMwMmQxNzc0NmZmZjIwNTNlMDk0NGEifQ=="/>
  </w:docVars>
  <w:rsids>
    <w:rsidRoot w:val="34686457"/>
    <w:rsid w:val="1FE56710"/>
    <w:rsid w:val="34686457"/>
    <w:rsid w:val="50EF088C"/>
    <w:rsid w:val="74B1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417</Characters>
  <Lines>0</Lines>
  <Paragraphs>0</Paragraphs>
  <TotalTime>1</TotalTime>
  <ScaleCrop>false</ScaleCrop>
  <LinksUpToDate>false</LinksUpToDate>
  <CharactersWithSpaces>418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2022-11-08T07:22:00Z</dcterms:created>
  <dc:creator>Administrator</dc:creator>
  <cp:lastModifiedBy>刘渊</cp:lastModifiedBy>
  <dcterms:modified xsi:type="dcterms:W3CDTF">2022-11-10T09:24:23Z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9D6F882BE8F64BEDB3C0CAF29B8324A3</vt:lpwstr>
  </property>
</Properties>
</file>