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right="-105" w:rightChars="-5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right="-105" w:rightChars="-5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山阴县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食品安全监督抽检实施方案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32" w:afterLines="10" w:line="580" w:lineRule="exact"/>
        <w:ind w:right="0" w:rightChars="0"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一、监督抽检任务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202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3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年全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县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食品安全监督抽检计划任务安排如下：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80" w:lineRule="exact"/>
        <w:ind w:right="-105" w:rightChars="-50" w:firstLine="640" w:firstLineChars="200"/>
        <w:jc w:val="both"/>
        <w:textAlignment w:val="auto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</w:rPr>
      </w:pP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县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抽监督抽检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</w:rPr>
        <w:t>任务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  <w:lang w:val="en-US" w:eastAsia="zh-CN"/>
        </w:rPr>
        <w:t>900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</w:rPr>
        <w:t>批次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食用农产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  <w:lang w:val="en-US" w:eastAsia="zh-CN"/>
        </w:rPr>
        <w:t>品440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</w:rPr>
        <w:t>批次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  <w:lang w:val="en-US" w:eastAsia="zh-CN"/>
        </w:rPr>
        <w:t>、监督抽检460批次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32" w:beforeLines="10" w:after="32" w:afterLines="10" w:line="580" w:lineRule="exact"/>
        <w:ind w:right="0" w:rightChars="0"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二、具体工作要求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0" w:rightChars="0" w:firstLine="640" w:firstLineChars="200"/>
        <w:textAlignment w:val="baseline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（一）坚持问题导向。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以食品安全风险较大的品种、项目、区域和企业为重点，排查和化解人民群众普遍关心的突出食品安全隐患。排查和化解人民群众普遍关心的突出食品安全隐患。紧紧围绕人民群众关心关切，聚焦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zh-CN" w:eastAsia="zh-CN"/>
        </w:rPr>
        <w:t>“一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老一小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zh-CN" w:eastAsia="zh-CN"/>
        </w:rPr>
        <w:t>”等重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点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人群，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聚焦“米袋子、菜篮子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、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果盘子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”等大宗消费食品，聚焦校园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及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周边、城乡结合部、农村和网络销售等重点区域环节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开展“你点我检”等各种方式的监督抽检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。对抽检不合格食品生产企业及其产品实施跟踪抽检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，针对近三年的不合格生产企业（包括但不限于生产企业、小作坊、餐饮自制食品单位）开展“回头看”的抽检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。重点对校园食堂、农村地区，特色食品、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“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三小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”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食品、食用农产品等组织监督抽检。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继续落实“十大攻坚行动”，深入开展专项抽检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。对抽检不合格食品生产企业及其产品实施跟踪抽检。严格按照食用农产品必检、可选项目要求组织监督抽检。原则上不将标签、感官等无需实验室检验的指标列为抽检项目。对抽检发现高风险的，及时报告并快速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深化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检管结合。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充分发挥监督抽检对食品安全监管的支撑作用，实现抽检计划制定、组织实施、核查处置、数据分析与日常监管有机结合。按“时、度、效”原则和信息公开有关规定要求公布监督抽检结果，同时加强敏感信息公布的审核把关。落实食用农产品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市场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监管人员陪同抽样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、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现场监督检查取证和溯源信息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填报工作。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按照“五个到位”要求，对监督抽检不合格产品及时采取风险控制措施，并依法开展核查处置工作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原则上每件次核查处置任务周期为60日；按照“谁处置、谁公布”的原则及时公布核查处置结果。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坚持统筹规划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为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避免重复抽检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重点对销售食用农产品和“三小”食品抽检，重点对小作坊、小型餐饮单位和小型农贸市场等开展抽检。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食用农产品监督抽检，应完成指定的必检品种和必检项目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还应完成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可选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项目不少于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个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自选项目少于4个的全部检测）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。自选品种和项目，应结合实际并以问题为导向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，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监督抽检项目不少于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6个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（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项目少于6个的全部检测）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，经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eastAsia="zh-CN"/>
        </w:rPr>
        <w:t>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</w:rPr>
        <w:t>局予以确认后实施。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baseline"/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四）加强数据分析。</w:t>
      </w:r>
      <w:r>
        <w:rPr>
          <w:rFonts w:hint="eastAsia" w:ascii="仿宋_GB2312" w:hAnsi="仿宋_GB2312" w:eastAsia="仿宋_GB2312" w:cs="Times New Roman"/>
          <w:b w:val="0"/>
          <w:bCs w:val="0"/>
          <w:kern w:val="2"/>
          <w:sz w:val="32"/>
          <w:szCs w:val="20"/>
          <w:lang w:val="en-US" w:eastAsia="zh-CN"/>
        </w:rPr>
        <w:t>加强对抽检数据的分析和利用， 系统梳理区域性品种、项目风险隐患，按时间、按区域、按产业科学确定抽检品种及检验项目；加强协同联动，对发现有严重风险的食品安全问题，依程序上报，快速处置。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564C1776"/>
    <w:rsid w:val="564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</w:pPr>
    <w:rPr>
      <w:rFonts w:ascii="Arial" w:hAnsi="Arial" w:eastAsia="Arial" w:cs="Arial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uppressAutoHyphens/>
      <w:bidi w:val="0"/>
      <w:spacing w:after="0"/>
      <w:ind w:left="0" w:leftChars="0" w:firstLine="420"/>
      <w:jc w:val="both"/>
    </w:pPr>
    <w:rPr>
      <w:rFonts w:ascii="仿宋_GB2312" w:hAnsi="Calibri" w:eastAsia="仿宋_GB2312" w:cs="Times New Roman"/>
      <w:color w:val="auto"/>
      <w:kern w:val="2"/>
      <w:sz w:val="21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99"/>
    <w:pPr>
      <w:widowControl w:val="0"/>
      <w:spacing w:after="120"/>
      <w:ind w:left="420" w:leftChars="200"/>
      <w:jc w:val="both"/>
    </w:pPr>
    <w:rPr>
      <w:rFonts w:ascii="Calibri" w:hAnsi="Calibri" w:eastAsia="仿宋" w:cs="黑体"/>
      <w:kern w:val="2"/>
      <w:sz w:val="32"/>
      <w:szCs w:val="22"/>
      <w:lang w:val="en-US" w:eastAsia="zh-CN" w:bidi="ar-SA"/>
    </w:rPr>
  </w:style>
  <w:style w:type="paragraph" w:styleId="4">
    <w:name w:val="Normal Indent"/>
    <w:basedOn w:val="1"/>
    <w:unhideWhenUsed/>
    <w:qFormat/>
    <w:uiPriority w:val="99"/>
    <w:pPr>
      <w:suppressAutoHyphens/>
      <w:bidi w:val="0"/>
      <w:ind w:firstLine="420" w:firstLineChars="200"/>
    </w:pPr>
    <w:rPr>
      <w:rFonts w:ascii="Calibri" w:hAnsi="Calibri" w:eastAsia="宋体"/>
      <w:color w:val="auto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2023-12-18T09:49:00Z</dcterms:created>
  <dc:creator>Administrator</dc:creator>
  <cp:lastModifiedBy>Administrator</cp:lastModifiedBy>
  <dcterms:modified xsi:type="dcterms:W3CDTF">2023-12-18T09:50:19Z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C37187E9583D4A18AAA08F6F83F6CE3F_11</vt:lpwstr>
  </property>
</Properties>
</file>