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山阴县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食品安全监督抽检实施方案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2" w:afterLines="10" w:line="580" w:lineRule="exact"/>
        <w:ind w:right="0" w:righ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一、监督抽检任务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202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年全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县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食品安全监督抽检计划任务安排如下：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县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抽监督抽检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</w:rPr>
        <w:t>任务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  <w:lang w:val="en-US" w:eastAsia="zh-CN"/>
        </w:rPr>
        <w:t>900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</w:rPr>
        <w:t>批次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（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食用农产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  <w:lang w:val="en-US" w:eastAsia="zh-CN"/>
        </w:rPr>
        <w:t>品440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</w:rPr>
        <w:t>批次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  <w:lang w:val="en-US" w:eastAsia="zh-CN"/>
        </w:rPr>
        <w:t>、监督抽检460批次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2" w:beforeLines="10" w:after="32" w:afterLines="10" w:line="580" w:lineRule="exact"/>
        <w:ind w:right="0" w:righ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二、具体工作要求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（一）坚持问题导向。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以食品安全风险较大的品种、项目、区域和企业为重点，排查和化解人民群众普遍关心的突出食品安全隐患。排查和化解人民群众普遍关心的突出食品安全隐患。紧紧围绕人民群众关心关切，聚焦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zh-CN" w:eastAsia="zh-CN"/>
        </w:rPr>
        <w:t>“一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老一小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zh-CN" w:eastAsia="zh-CN"/>
        </w:rPr>
        <w:t>”等重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点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人群，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聚焦“米袋子、菜篮子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、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果盘子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”等大宗消费食品，聚焦校园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及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周边、城乡结合部、农村和网络销售等重点区域环节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开展“你点我检”等各种方式的监督抽检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。对抽检不合格食品生产企业及其产品实施跟踪抽检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，针对近三年的不合格生产企业（包括但不限于生产企业、小作坊、餐饮自制食品单位）开展“回头看”的抽检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。重点对校园食堂、农村地区，特色食品、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“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三小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”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食品、食用农产品等组织监督抽检。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继续落实“十大攻坚行动”，深入开展专项抽检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。对抽检不合格食品生产企业及其产品实施跟踪抽检。严格按照食用农产品必检、可选项目要求组织监督抽检。原则上不将标签、感官等无需实验室检验的指标列为抽检项目。对抽检发现高风险的，及时报告并快速处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深化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检管结合。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充分发挥监督抽检对食品安全监管的支撑作用，实现抽检计划制定、组织实施、核查处置、数据分析与日常监管有机结合。按“时、度、效”原则和信息公开有关规定要求公布监督抽检结果，同时加强敏感信息公布的审核把关。落实食用农产品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市场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监管人员陪同抽样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、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现场监督检查取证和溯源信息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填报工作。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按照“五个到位”要求，对监督抽检不合格产品及时采取风险控制措施，并依法开展核查处置工作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原则上每件次核查处置任务周期为60日；按照“谁处置、谁公布”的原则及时公布核查处置结果。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坚持统筹规划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为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避免重复抽检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重点对销售食用农产品和“三小”食品抽检，重点对小作坊、小型餐饮单位和小型农贸市场等开展抽检。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食用农产品监督抽检，应完成指定的必检品种和必检项目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还应完成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可选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项目不少于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个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（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自选项目少于4个的全部检测）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。自选品种和项目，应结合实际并以问题为导向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监督抽检项目不少于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6个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（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项目少于6个的全部检测）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，经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eastAsia="zh-CN"/>
        </w:rPr>
        <w:t>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</w:rPr>
        <w:t>局予以确认后实施。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四）加强数据分析。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加强对抽检数据的分析和利用， 系统梳理区域性品种、项目风险隐患，按时间、按区域、按产业科学确定抽检品种及检验项目；加强协同联动，对发现有严重风险的食品安全问题，依程序上报，快速处置。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TYyZGRkNTkwMWU4NDY3MTczNzVmNmU4Y2U4ZGEifQ=="/>
  </w:docVars>
  <w:rsids>
    <w:rsidRoot w:val="564C1776"/>
    <w:rsid w:val="564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uppressAutoHyphens/>
      <w:bidi w:val="0"/>
      <w:spacing w:after="0"/>
      <w:ind w:left="0" w:leftChars="0" w:firstLine="420"/>
      <w:jc w:val="both"/>
    </w:pPr>
    <w:rPr>
      <w:rFonts w:ascii="仿宋_GB2312" w:hAnsi="Calibri" w:eastAsia="仿宋_GB2312" w:cs="Times New Roman"/>
      <w:color w:val="auto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仿宋" w:cs="黑体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suppressAutoHyphens/>
      <w:bidi w:val="0"/>
      <w:ind w:firstLine="420" w:firstLineChars="200"/>
    </w:pPr>
    <w:rPr>
      <w:rFonts w:ascii="Calibri" w:hAnsi="Calibri" w:eastAsia="宋体"/>
      <w:color w:val="auto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2023-12-18T09:49:00Z</dcterms:created>
  <dc:creator>Administrator</dc:creator>
  <cp:lastModifiedBy>Administrator</cp:lastModifiedBy>
  <dcterms:modified xsi:type="dcterms:W3CDTF">2023-12-18T09:50:19Z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C37187E9583D4A18AAA08F6F83F6CE3F_11</vt:lpwstr>
  </property>
</Properties>
</file>