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</w:p>
    <w:p>
      <w:pPr>
        <w:jc w:val="both"/>
        <w:rPr>
          <w:rFonts w:hint="eastAsia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山阴县卫生健康和体育局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双随机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、一公开”随机抽查工作计划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山卫健体字[2022]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11号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县卫生健康综合行政执法队：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根据朔州市《市场监管领域 “双随机、一公开”监管工作领导小组办公室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〈</w:t>
      </w:r>
      <w:r>
        <w:rPr>
          <w:rFonts w:hint="eastAsia" w:ascii="仿宋" w:hAnsi="仿宋" w:eastAsia="仿宋" w:cs="仿宋"/>
          <w:sz w:val="32"/>
          <w:szCs w:val="32"/>
        </w:rPr>
        <w:t>关于印发朔州市 2022 年度市场监管领域 “双随机、一公开”监管工作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〉</w:t>
      </w:r>
      <w:r>
        <w:rPr>
          <w:rFonts w:hint="eastAsia" w:ascii="仿宋" w:hAnsi="仿宋" w:eastAsia="仿宋" w:cs="仿宋"/>
          <w:sz w:val="32"/>
          <w:szCs w:val="32"/>
        </w:rPr>
        <w:t>实施方案的通知》（朔双随机办〔2022〕1 号）文件要求，结合我县卫健系统业务工作实际，制定本抽查方案。</w:t>
      </w:r>
    </w:p>
    <w:p>
      <w:pPr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一、总体原则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（一）坚持依法监管原则。严格执行卫生健康有关法律法规，规范事中事后监管，落实监管责任，确保事中事后监管依法有序进行，推进随机抽查制度化、规范化。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（二）坚持公正高效原则。规范行政权力运行，切实做到严格规范公正文明执法，提升监管效能，减轻市场主体负担，优化市场环境。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（三）坚持公开透明原则。实施随机抽查事项公开、程序公开、结果公开，实行“阳光执法”，保障市场主体权利平等、机会平等、规则平等。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制定发布随机抽查事项清单。根据卫生健康法律法规规章的规定，结合权力清单和责任清单，对承担主管业务范围内的监管事项进行梳理，制定随机抽查事项计划清单（附件），明确抽查事项名称、内容、抽查依据、抽查主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（二）建立“双随机”抽查机制。卫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健康综合行政执法队开展的监督检查，除有初步证据或线索证明明显涉嫌违法、由卫生健康综合行政执法对依法立案查处的外，其他随机监督均须通过抽签等方式，从检查对象名录库中随机抽取检查对象，从执法检查人员名录库中随机选派执法检查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合理确定被监督单位和监督员随机抽查比例和频次。根据被监管对象分类和行政执法监督员情况合理确定，以不影响公正与效率为前提，既要保证必要的抽查覆盖面和工作力度，又要防止检查过多和执法扰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强化随机抽查结果应用。对抽查发现的违法违规行为，要依法加大惩处力度，形成有效震慑，增加市场主体守法的自觉性。要建立“一抽查一通报”制度，抽查情况及查处结果要及时向社会公布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加强组织领导。推广随机抽查是贯彻落实党中央、国务院关于深化行政体制改革，加快转变政府职能，推进简政放权、放管结合、优化服务决策部署的重要举措。要一级抓一级，层层抓落实，切实加强对随机抽查工作的组织部署、督促指导和业绩考评，确保随机抽查工作取得明显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强化责任落实。根据本实施方案要求，结合国家、省、市双随机监督抽查安排，各股室要具体细化推进随机抽查的任务和步骤，明确工作进度要求，落实责任分工，强化过程管控，确保此项工作落到实处，抓出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（三）强化宣传培训。随机抽查是行政执法监管方式的探索和创新，要加大宣传力度，加强执法人员培训，转变执法理念，探索完善随机抽查监管办法，不断提高执法能力。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四、抽取方式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体现双随机抽查工作的公开公正，以抽签方式抽取被监督单位和监督人员。双随机监督检查分为七个项目，单位除工人和今年即将退休人员不参与随机监督工作，其他人员全部参加所有项目的随机监督工作，每个双随机监督任务抽取两名监督员完成双随机监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附：山阴县卫健体局2022年度双随机抽查任务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山阴县卫生健康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和体育局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2022年4月25日</w:t>
      </w: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山阴县卫健体局2022年度双随机抽查任务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0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填表单位：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山阴县卫生健和体育局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              填表时间：2022年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25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抽查部门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卫生健康综合行政执法队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抽查类别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医疗卫生抽查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医疗机构的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传染病防治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县级医疗机构、乡镇卫生院、民营医疗机构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抽查依据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《医疗废物管理条例》、《消毒管理办法》、《传染病防治法》、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《突发公共事件卫生应急条例》《中华人民共和国疫苗管理法》《病原微生物实验室生物安全管理条例》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是否委托专业机构，聘请专家学者等协助检查。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抽查完成时限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 xml:space="preserve">2022年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— 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抽查比例或数量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执法检查人员范围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综合执法队所有监督员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0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填表单位：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山阴县卫生健和体育局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              填表时间：2022年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25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抽查部门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卫生健康综合行政执法队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抽查类别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医疗卫生抽查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医疗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卫生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机构的依法执业卫生监督检查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全县所有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医疗卫生机构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抽查依据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《医疗机构管理条例》、《中华人民共和国执业医师法》、《护士条例》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《乡村医生从业条例》《中华人民共和国基本医疗卫生与健康促进法》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是否委托专业机构，聘请专家学者等协助检查。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抽查完成时限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 xml:space="preserve">2022年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— 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抽查比例或数量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执法检查人员范围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综合执法队所有监督员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0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填表单位：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山阴县卫生健和体育局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              填表时间：2022年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25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抽查部门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卫生健康综合行政执法队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抽查类别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医疗卫生抽查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医疗机构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放射诊疗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卫生监督检查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从事放射诊疗的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医疗卫生机构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抽查依据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《医疗机构管理条例》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《放射性同位素与射线装置安全和防护条例》</w:t>
            </w:r>
            <w:r>
              <w:rPr>
                <w:rFonts w:hint="eastAsia" w:ascii="仿宋" w:hAnsi="仿宋" w:eastAsia="仿宋" w:cs="仿宋"/>
                <w:lang w:eastAsia="zh-CN"/>
              </w:rPr>
              <w:t>《中华人民共和国职业病防治法》《放射诊疗管理条例》《放射工作人员职业健康管理办法》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是否委托专业机构，聘请专家学者等协助检查。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抽查完成时限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 xml:space="preserve">2022年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— 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抽查比例或数量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执法检查人员范围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综合执法队所有监督员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0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填表单位：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山阴县卫生健和体育局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              填表时间：2022年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25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抽查部门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卫生健康综合行政执法队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抽查类别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医疗卫生抽查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医疗机构的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母婴保健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监督检查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从事母婴保健、计划生育的医疗卫生机构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抽查依据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《中华人民共和国母婴保健法》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《中国人口与计划生育条例》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《中华人民共和国母婴保健法实施办法》《禁止非医学需要的胎儿性别坚定和选择性别人工终止现象》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是否委托专业机构，聘请专家学者等协助检查。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抽查完成时限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2022年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5月1日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— 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抽查比例或数量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执法检查人员范围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综合执法队所有监督员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tbl>
      <w:tblPr>
        <w:tblStyle w:val="6"/>
        <w:tblpPr w:leftFromText="180" w:rightFromText="180" w:vertAnchor="text" w:horzAnchor="page" w:tblpX="18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0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填表单位：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山阴县卫生健和体育局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              填表时间：2022年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25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抽查部门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卫生健康综合行政执法队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抽查类别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公共场所卫生抽查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对公共场所的卫生监督执法检查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公共场所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抽查依据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《公共场所卫生管理条例实施细则》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《公共场所卫生管理条例》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是否委托专业机构，聘请专家学者等协助检查。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聘请第三方监测机构对场所顾客用品、环境进行监测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抽查完成时限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 xml:space="preserve">2022年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 xml:space="preserve">—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11月30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抽查比例或数量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执法检查人员范围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综合执法队所有监督员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tbl>
      <w:tblPr>
        <w:tblStyle w:val="6"/>
        <w:tblpPr w:leftFromText="180" w:rightFromText="180" w:vertAnchor="text" w:horzAnchor="page" w:tblpX="1740" w:tblpY="1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0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填表单位：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山阴县卫生健和体育局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              填表时间：2022年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25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抽查部门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卫生健康综合行政执法队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抽查类别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供水单位卫生抽查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对生活饮用水和涉及饮用水卫生安全的产品的卫生监督执法检查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两家市政供水单位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抽查依据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《生活饮用水卫生监督管理办法》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是否委托专业机构，聘请专家学者等协助检查。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聘请第三方监测机构对场所顾客用品、环境进行监测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抽查完成时限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2022年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 xml:space="preserve">—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抽查比例或数量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执法检查人员范围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综合执法队所有监督员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tbl>
      <w:tblPr>
        <w:tblStyle w:val="6"/>
        <w:tblpPr w:leftFromText="180" w:rightFromText="180" w:vertAnchor="text" w:horzAnchor="page" w:tblpX="1740" w:tblpY="1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20" w:type="dxa"/>
            <w:gridSpan w:val="2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填表单位：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山阴县卫生健和体育局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              填表时间：2022年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25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抽查部门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山阴县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卫生健康综合行政执法队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抽查类别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卫生抽查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对学校传染病防治生活饮用水卫生的监督抽查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全县所有学校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抽查依据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《传染病防治法》《学校卫生工作条例》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《生活饮用水卫生监督管理办法》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是否委托专业机构，聘请专家学者等协助检查。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聘请第三方监测机构对学生课桌椅、采光、照明、环境等进行监测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8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抽查完成时限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2022年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 xml:space="preserve">—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1200" w:firstLineChars="50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抽查比例或数量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62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执法检查人员范围</w:t>
            </w:r>
          </w:p>
        </w:tc>
        <w:tc>
          <w:tcPr>
            <w:tcW w:w="4896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leftChars="0" w:right="0" w:rightChars="0" w:firstLine="42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eastAsia="zh-CN"/>
              </w:rPr>
              <w:t>综合执法队所有监督员</w:t>
            </w:r>
          </w:p>
        </w:tc>
      </w:tr>
    </w:tbl>
    <w:p/>
    <w:p/>
    <w:p/>
    <w:p/>
    <w:p/>
    <w:p/>
    <w:p/>
    <w:p/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p>
      <w:pPr>
        <w:ind w:firstLine="4800" w:firstLineChars="1500"/>
        <w:rPr>
          <w:rFonts w:hint="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YTNiODAwOWQ2Yzg1MmM5NjdkYzE0OWYzNTg2YzcifQ=="/>
  </w:docVars>
  <w:rsids>
    <w:rsidRoot w:val="00000000"/>
    <w:rsid w:val="026563EF"/>
    <w:rsid w:val="02E80B35"/>
    <w:rsid w:val="18AA6EFA"/>
    <w:rsid w:val="37996756"/>
    <w:rsid w:val="645A31F7"/>
    <w:rsid w:val="6F6254A1"/>
    <w:rsid w:val="713739B5"/>
    <w:rsid w:val="FB771E49"/>
    <w:rsid w:val="FDEEC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1278</Characters>
  <Lines>0</Lines>
  <Paragraphs>0</Paragraphs>
  <TotalTime>2</TotalTime>
  <ScaleCrop>false</ScaleCrop>
  <LinksUpToDate>false</LinksUpToDate>
  <CharactersWithSpaces>1328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2022-04-27T18:11:00Z</dcterms:created>
  <dc:creator>Administrator</dc:creator>
  <cp:lastModifiedBy>zfb</cp:lastModifiedBy>
  <cp:lastPrinted>2022-04-28T19:04:00Z</cp:lastPrinted>
  <dcterms:modified xsi:type="dcterms:W3CDTF">2024-03-06T15:32:49Z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3081FC8DEAB54AB899B9D09FB084B2FA</vt:lpwstr>
  </property>
</Properties>
</file>