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400" w:lineRule="exact"/>
        <w:ind w:firstLine="0" w:firstLineChars="0"/>
        <w:jc w:val="center"/>
        <w:textAlignment w:val="auto"/>
        <w:rPr>
          <w:rFonts w:hint="eastAsia" w:ascii="方正大标宋简体" w:hAnsi="方正大标宋简体" w:eastAsia="方正大标宋简体" w:cs="方正大标宋简体"/>
          <w:color w:val="auto"/>
          <w:spacing w:val="0"/>
          <w:w w:val="62"/>
          <w:sz w:val="120"/>
          <w:szCs w:val="120"/>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大标宋简体" w:hAnsi="方正大标宋简体" w:eastAsia="方正大标宋简体" w:cs="方正大标宋简体"/>
          <w:color w:val="auto"/>
          <w:spacing w:val="0"/>
          <w:w w:val="62"/>
          <w:sz w:val="120"/>
          <w:szCs w:val="120"/>
          <w:lang w:eastAsia="zh-CN"/>
        </w:rPr>
      </w:pPr>
    </w:p>
    <w:p>
      <w:pPr>
        <w:keepNext w:val="0"/>
        <w:keepLines w:val="0"/>
        <w:pageBreakBefore w:val="0"/>
        <w:widowControl w:val="0"/>
        <w:kinsoku/>
        <w:wordWrap/>
        <w:overflowPunct/>
        <w:topLinePunct w:val="0"/>
        <w:autoSpaceDE/>
        <w:autoSpaceDN/>
        <w:bidi w:val="0"/>
        <w:adjustRightInd/>
        <w:snapToGrid/>
        <w:spacing w:line="1400" w:lineRule="exact"/>
        <w:ind w:firstLine="0" w:firstLineChars="0"/>
        <w:jc w:val="center"/>
        <w:textAlignment w:val="auto"/>
        <w:rPr>
          <w:rFonts w:hint="eastAsia" w:ascii="方正大标宋简体" w:hAnsi="方正大标宋简体" w:eastAsia="方正大标宋简体" w:cs="方正大标宋简体"/>
          <w:color w:val="auto"/>
          <w:spacing w:val="0"/>
          <w:w w:val="62"/>
          <w:sz w:val="120"/>
          <w:szCs w:val="120"/>
          <w:lang w:eastAsia="zh-CN"/>
        </w:rPr>
      </w:pPr>
      <w:r>
        <w:rPr>
          <w:rFonts w:hint="eastAsia" w:ascii="方正大标宋简体" w:hAnsi="方正大标宋简体" w:eastAsia="方正大标宋简体" w:cs="方正大标宋简体"/>
          <w:color w:val="FF0000"/>
          <w:spacing w:val="0"/>
          <w:w w:val="62"/>
          <w:sz w:val="120"/>
          <w:szCs w:val="120"/>
          <w:lang w:eastAsia="zh-CN"/>
        </w:rPr>
        <w:t>中共吴马营乡委员会文件</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vanish w:val="0"/>
          <w:sz w:val="32"/>
          <w:szCs w:val="32"/>
          <w:lang w:val="en-US" w:eastAsia="zh-CN"/>
        </w:rPr>
      </w:pPr>
      <w:r>
        <w:rPr>
          <w:rFonts w:hint="eastAsia" w:ascii="仿宋" w:hAnsi="仿宋" w:eastAsia="仿宋" w:cs="仿宋"/>
          <w:vanish w:val="0"/>
          <w:sz w:val="32"/>
          <w:szCs w:val="32"/>
          <w:lang w:val="en-US" w:eastAsia="zh-CN"/>
        </w:rPr>
        <w:t>吴发﹝2022﹞36号</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sz w:val="44"/>
          <w:szCs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-125095</wp:posOffset>
                </wp:positionH>
                <wp:positionV relativeFrom="paragraph">
                  <wp:posOffset>216535</wp:posOffset>
                </wp:positionV>
                <wp:extent cx="5760085" cy="0"/>
                <wp:effectExtent l="0" t="13970" r="12065" b="24130"/>
                <wp:wrapNone/>
                <wp:docPr id="2" name="直接连接符 2"/>
                <wp:cNvGraphicFramePr/>
                <a:graphic xmlns:a="http://schemas.openxmlformats.org/drawingml/2006/main">
                  <a:graphicData uri="http://schemas.microsoft.com/office/word/2010/wordprocessingShape">
                    <wps:wsp>
                      <wps:cNvCnPr/>
                      <wps:spPr>
                        <a:xfrm>
                          <a:off x="956945" y="3877945"/>
                          <a:ext cx="5760085" cy="0"/>
                        </a:xfrm>
                        <a:prstGeom prst="line">
                          <a:avLst/>
                        </a:prstGeom>
                        <a:noFill/>
                        <a:ln w="28575" cap="flat" cmpd="sng" algn="ctr">
                          <a:solidFill>
                            <a:srgbClr val="FF0000"/>
                          </a:solidFill>
                          <a:prstDash val="solid"/>
                        </a:ln>
                        <a:effectLst/>
                      </wps:spPr>
                      <wps:bodyPr/>
                    </wps:wsp>
                  </a:graphicData>
                </a:graphic>
              </wp:anchor>
            </w:drawing>
          </mc:Choice>
          <mc:Fallback>
            <w:pict>
              <v:line id="_x0000_s1026" o:spid="_x0000_s1026" o:spt="20" style="position:absolute;left:0pt;margin-left:-9.85pt;margin-top:17.05pt;height:0pt;width:453.55pt;z-index:251660288;mso-width-relative:page;mso-height-relative:page;" filled="f" stroked="t" coordsize="21600,21600" o:gfxdata="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p&#10;bu0S1wAAAAkBAAAPAAAAAAAAAAEAIAAAACIAAABkcnMvZG93bnJldi54bWxQSwECFAAUAAAACACH&#10;TuJAJU3JPewBAAC0AwAADgAAAAAAAAABACAAAAAmAQAAZHJzL2Uyb0RvYy54bWxQSwUGAAAAAAYA&#10;BgBZAQAAhA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spacing w:line="6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山阴县吴马营乡</w:t>
      </w:r>
      <w:r>
        <w:rPr>
          <w:rFonts w:hint="eastAsia" w:ascii="方正小标宋简体" w:hAnsi="方正小标宋简体" w:eastAsia="方正小标宋简体" w:cs="方正小标宋简体"/>
          <w:b w:val="0"/>
          <w:bCs w:val="0"/>
          <w:sz w:val="44"/>
          <w:szCs w:val="44"/>
        </w:rPr>
        <w:t>经营性自建房安全专项</w:t>
      </w:r>
    </w:p>
    <w:p>
      <w:pPr>
        <w:keepNext w:val="0"/>
        <w:keepLines w:val="0"/>
        <w:pageBreakBefore w:val="0"/>
        <w:widowControl w:val="0"/>
        <w:kinsoku/>
        <w:wordWrap/>
        <w:overflowPunct/>
        <w:topLinePunct w:val="0"/>
        <w:autoSpaceDE/>
        <w:autoSpaceDN/>
        <w:bidi w:val="0"/>
        <w:adjustRightInd w:val="0"/>
        <w:snapToGrid/>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整治“百日行动”实施</w:t>
      </w:r>
      <w:r>
        <w:rPr>
          <w:rFonts w:hint="eastAsia" w:ascii="方正小标宋简体" w:hAnsi="方正小标宋简体" w:eastAsia="方正小标宋简体" w:cs="方正小标宋简体"/>
          <w:b w:val="0"/>
          <w:bCs w:val="0"/>
          <w:sz w:val="44"/>
          <w:szCs w:val="44"/>
          <w:lang w:eastAsia="zh-CN"/>
        </w:rPr>
        <w:t>方案</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为深入贯彻落实</w:t>
      </w:r>
      <w:r>
        <w:rPr>
          <w:rFonts w:hint="eastAsia" w:ascii="仿宋" w:hAnsi="仿宋" w:eastAsia="仿宋" w:cs="仿宋"/>
          <w:sz w:val="32"/>
          <w:szCs w:val="32"/>
          <w:lang w:eastAsia="zh-CN"/>
        </w:rPr>
        <w:t>习近平</w:t>
      </w:r>
      <w:r>
        <w:rPr>
          <w:rFonts w:hint="eastAsia" w:ascii="仿宋" w:hAnsi="仿宋" w:eastAsia="仿宋" w:cs="仿宋"/>
          <w:sz w:val="32"/>
          <w:szCs w:val="32"/>
        </w:rPr>
        <w:t>总书记关于湖南长沙居民自建房倒塌事故重要指示精神，按照省委、省政府开展自建房安全专项整治工作部署和</w:t>
      </w:r>
      <w:r>
        <w:rPr>
          <w:rFonts w:hint="eastAsia" w:ascii="仿宋" w:hAnsi="仿宋" w:eastAsia="仿宋" w:cs="仿宋"/>
          <w:sz w:val="32"/>
          <w:szCs w:val="32"/>
          <w:lang w:eastAsia="zh-CN"/>
        </w:rPr>
        <w:t>《山阴县</w:t>
      </w:r>
      <w:r>
        <w:rPr>
          <w:rFonts w:hint="eastAsia" w:ascii="仿宋" w:hAnsi="仿宋" w:eastAsia="仿宋" w:cs="仿宋"/>
          <w:sz w:val="32"/>
          <w:szCs w:val="32"/>
          <w:lang w:val="en-US" w:eastAsia="zh-CN"/>
        </w:rPr>
        <w:t>经营性</w:t>
      </w:r>
      <w:r>
        <w:rPr>
          <w:rFonts w:hint="eastAsia" w:ascii="仿宋" w:hAnsi="仿宋" w:eastAsia="仿宋" w:cs="仿宋"/>
          <w:sz w:val="32"/>
          <w:szCs w:val="32"/>
        </w:rPr>
        <w:t>自建房安全专项整治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百日行动</w:t>
      </w:r>
      <w:r>
        <w:rPr>
          <w:rFonts w:hint="eastAsia" w:ascii="仿宋" w:hAnsi="仿宋" w:eastAsia="仿宋" w:cs="仿宋"/>
          <w:sz w:val="32"/>
          <w:szCs w:val="32"/>
          <w:lang w:eastAsia="zh-CN"/>
        </w:rPr>
        <w:t>”</w:t>
      </w:r>
      <w:r>
        <w:rPr>
          <w:rFonts w:hint="eastAsia" w:ascii="仿宋" w:hAnsi="仿宋" w:eastAsia="仿宋" w:cs="仿宋"/>
          <w:sz w:val="32"/>
          <w:szCs w:val="32"/>
        </w:rPr>
        <w:t>实施</w:t>
      </w:r>
      <w:r>
        <w:rPr>
          <w:rFonts w:hint="eastAsia" w:ascii="仿宋" w:hAnsi="仿宋" w:eastAsia="仿宋" w:cs="仿宋"/>
          <w:sz w:val="32"/>
          <w:szCs w:val="32"/>
          <w:lang w:eastAsia="zh-CN"/>
        </w:rPr>
        <w:t>计划》</w:t>
      </w:r>
      <w:r>
        <w:rPr>
          <w:rFonts w:hint="eastAsia" w:ascii="仿宋" w:hAnsi="仿宋" w:eastAsia="仿宋" w:cs="仿宋"/>
          <w:sz w:val="32"/>
          <w:szCs w:val="32"/>
        </w:rPr>
        <w:t>要求，</w:t>
      </w:r>
      <w:r>
        <w:rPr>
          <w:rFonts w:hint="eastAsia" w:ascii="仿宋" w:hAnsi="仿宋" w:eastAsia="仿宋" w:cs="仿宋"/>
          <w:sz w:val="32"/>
          <w:szCs w:val="32"/>
          <w:lang w:val="en-US" w:eastAsia="zh-CN"/>
        </w:rPr>
        <w:t>结合我乡实际</w:t>
      </w:r>
      <w:r>
        <w:rPr>
          <w:rFonts w:hint="eastAsia" w:ascii="仿宋" w:hAnsi="仿宋" w:eastAsia="仿宋" w:cs="仿宋"/>
          <w:sz w:val="32"/>
          <w:szCs w:val="32"/>
        </w:rPr>
        <w:t>，制定本</w:t>
      </w:r>
      <w:r>
        <w:rPr>
          <w:rFonts w:hint="eastAsia" w:ascii="仿宋" w:hAnsi="仿宋" w:eastAsia="仿宋" w:cs="仿宋"/>
          <w:sz w:val="32"/>
          <w:szCs w:val="32"/>
          <w:lang w:eastAsia="zh-CN"/>
        </w:rPr>
        <w:t>方案</w:t>
      </w:r>
      <w:r>
        <w:rPr>
          <w:rFonts w:hint="eastAsia" w:ascii="仿宋" w:hAnsi="仿宋" w:eastAsia="仿宋" w:cs="仿宋"/>
          <w:sz w:val="32"/>
          <w:szCs w:val="32"/>
        </w:rPr>
        <w:t>。</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深入贯彻落实</w:t>
      </w:r>
      <w:r>
        <w:rPr>
          <w:rFonts w:hint="eastAsia" w:ascii="仿宋" w:hAnsi="仿宋" w:eastAsia="仿宋" w:cs="仿宋"/>
          <w:sz w:val="32"/>
          <w:szCs w:val="32"/>
          <w:lang w:eastAsia="zh-CN"/>
        </w:rPr>
        <w:t>习近平</w:t>
      </w:r>
      <w:r>
        <w:rPr>
          <w:rFonts w:hint="eastAsia" w:ascii="仿宋" w:hAnsi="仿宋" w:eastAsia="仿宋" w:cs="仿宋"/>
          <w:sz w:val="32"/>
          <w:szCs w:val="32"/>
        </w:rPr>
        <w:t>总书记关于自建房安全重要指示精神，坚持人民至上、生命至上，在5月份紧急开展全</w:t>
      </w:r>
      <w:r>
        <w:rPr>
          <w:rFonts w:hint="eastAsia" w:ascii="仿宋" w:hAnsi="仿宋" w:eastAsia="仿宋" w:cs="仿宋"/>
          <w:sz w:val="32"/>
          <w:szCs w:val="32"/>
          <w:lang w:eastAsia="zh-CN"/>
        </w:rPr>
        <w:t>县</w:t>
      </w:r>
      <w:r>
        <w:rPr>
          <w:rFonts w:hint="eastAsia" w:ascii="仿宋" w:hAnsi="仿宋" w:eastAsia="仿宋" w:cs="仿宋"/>
          <w:sz w:val="32"/>
          <w:szCs w:val="32"/>
        </w:rPr>
        <w:t>自建房安全隐患排查整治的基础上，</w:t>
      </w:r>
      <w:r>
        <w:rPr>
          <w:rFonts w:hint="eastAsia" w:ascii="仿宋" w:hAnsi="仿宋" w:eastAsia="仿宋" w:cs="仿宋"/>
          <w:sz w:val="32"/>
          <w:szCs w:val="32"/>
          <w:lang w:val="en-US" w:eastAsia="zh-CN"/>
        </w:rPr>
        <w:t>从6月开始到9月中旬，</w:t>
      </w:r>
      <w:r>
        <w:rPr>
          <w:rFonts w:hint="eastAsia" w:ascii="仿宋" w:hAnsi="仿宋" w:eastAsia="仿宋" w:cs="仿宋"/>
          <w:sz w:val="32"/>
          <w:szCs w:val="32"/>
        </w:rPr>
        <w:t>针对经营性自建房开展专项整治“百日行动”，对危及公共安全的风险隐患快查快改、立查立改，对各类违法违规行为即查即纠、严查严处，坚决防范重特大事故发生，为党的二十大胜利召开营造安全稳定的社会</w:t>
      </w:r>
      <w:r>
        <w:rPr>
          <w:rFonts w:hint="eastAsia" w:ascii="仿宋" w:hAnsi="仿宋" w:eastAsia="仿宋" w:cs="仿宋"/>
          <w:sz w:val="32"/>
          <w:szCs w:val="32"/>
          <w:lang w:eastAsia="zh-CN"/>
        </w:rPr>
        <w:t>环境。</w:t>
      </w:r>
    </w:p>
    <w:p>
      <w:pPr>
        <w:ind w:firstLine="640" w:firstLineChars="200"/>
        <w:rPr>
          <w:rFonts w:hint="eastAsia" w:ascii="仿宋" w:hAnsi="仿宋" w:eastAsia="仿宋" w:cs="仿宋"/>
          <w:b/>
          <w:bCs/>
          <w:sz w:val="32"/>
          <w:szCs w:val="32"/>
        </w:rPr>
      </w:pPr>
      <w:r>
        <w:rPr>
          <w:rFonts w:hint="eastAsia" w:ascii="黑体" w:hAnsi="黑体" w:eastAsia="黑体" w:cs="黑体"/>
          <w:b w:val="0"/>
          <w:bCs w:val="0"/>
          <w:sz w:val="32"/>
          <w:szCs w:val="32"/>
        </w:rPr>
        <w:t>二、工作目标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经营性自建房安全隐患进行全面排查，重点要排查3层及以上、6米以上跨度、结构形式复杂、加建改建扩建、住宅改门店、人员密集等容易造成重大安全事故的经营性自建房，同步开展房屋安全鉴定，根据风险程度及时采取相应措施，对发现存在重大风险</w:t>
      </w:r>
      <w:r>
        <w:rPr>
          <w:rFonts w:hint="eastAsia" w:ascii="仿宋" w:hAnsi="仿宋" w:eastAsia="仿宋" w:cs="仿宋"/>
          <w:sz w:val="32"/>
          <w:szCs w:val="32"/>
          <w:lang w:eastAsia="zh-CN"/>
        </w:rPr>
        <w:t>隐患的</w:t>
      </w:r>
      <w:r>
        <w:rPr>
          <w:rFonts w:hint="eastAsia" w:ascii="仿宋" w:hAnsi="仿宋" w:eastAsia="仿宋" w:cs="仿宋"/>
          <w:sz w:val="32"/>
          <w:szCs w:val="32"/>
        </w:rPr>
        <w:t>全部采取管理措施或措施，及时化解风险隐患，确保管控到位，坚决防止重特大事故发生。</w:t>
      </w:r>
    </w:p>
    <w:p>
      <w:pPr>
        <w:ind w:firstLine="640" w:firstLineChars="200"/>
        <w:rPr>
          <w:rFonts w:hint="eastAsia" w:ascii="仿宋" w:hAnsi="仿宋" w:eastAsia="仿宋" w:cs="仿宋"/>
          <w:b/>
          <w:bCs/>
          <w:sz w:val="32"/>
          <w:szCs w:val="32"/>
        </w:rPr>
      </w:pPr>
      <w:r>
        <w:rPr>
          <w:rFonts w:hint="eastAsia" w:ascii="黑体" w:hAnsi="黑体" w:eastAsia="黑体" w:cs="黑体"/>
          <w:b w:val="0"/>
          <w:bCs w:val="0"/>
          <w:sz w:val="32"/>
          <w:szCs w:val="32"/>
        </w:rPr>
        <w:t>三、工作任务</w:t>
      </w:r>
    </w:p>
    <w:p>
      <w:pPr>
        <w:ind w:firstLine="640" w:firstLineChars="200"/>
        <w:rPr>
          <w:rFonts w:hint="eastAsia" w:ascii="仿宋" w:hAnsi="仿宋" w:eastAsia="仿宋" w:cs="仿宋"/>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开展全面排查。</w:t>
      </w:r>
      <w:r>
        <w:rPr>
          <w:rFonts w:hint="eastAsia" w:ascii="仿宋" w:hAnsi="仿宋" w:eastAsia="仿宋" w:cs="仿宋"/>
          <w:sz w:val="32"/>
          <w:szCs w:val="32"/>
          <w:lang w:val="en-US" w:eastAsia="zh-CN"/>
        </w:rPr>
        <w:t>各村</w:t>
      </w:r>
      <w:r>
        <w:rPr>
          <w:rFonts w:hint="eastAsia" w:ascii="仿宋" w:hAnsi="仿宋" w:eastAsia="仿宋" w:cs="仿宋"/>
          <w:sz w:val="32"/>
          <w:szCs w:val="32"/>
        </w:rPr>
        <w:t>对经营性自建房安全隐患开展“地毯式、全方位、无死角”的全面排查整治，突出以下重点：</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1.重点区</w:t>
      </w:r>
      <w:r>
        <w:rPr>
          <w:rFonts w:hint="eastAsia" w:ascii="仿宋" w:hAnsi="仿宋" w:eastAsia="仿宋" w:cs="仿宋"/>
          <w:b/>
          <w:bCs/>
          <w:sz w:val="32"/>
          <w:szCs w:val="32"/>
          <w:lang w:eastAsia="zh-CN"/>
        </w:rPr>
        <w:t>域</w:t>
      </w:r>
      <w:r>
        <w:rPr>
          <w:rFonts w:hint="eastAsia" w:ascii="仿宋" w:hAnsi="仿宋" w:eastAsia="仿宋" w:cs="仿宋"/>
          <w:sz w:val="32"/>
          <w:szCs w:val="32"/>
        </w:rPr>
        <w:t>：</w:t>
      </w:r>
      <w:r>
        <w:rPr>
          <w:rFonts w:hint="eastAsia" w:ascii="仿宋" w:hAnsi="仿宋" w:eastAsia="仿宋" w:cs="仿宋"/>
          <w:sz w:val="32"/>
          <w:szCs w:val="32"/>
          <w:lang w:eastAsia="zh-CN"/>
        </w:rPr>
        <w:t>乡所辖</w:t>
      </w:r>
      <w:r>
        <w:rPr>
          <w:rFonts w:hint="eastAsia" w:ascii="仿宋" w:hAnsi="仿宋" w:eastAsia="仿宋" w:cs="仿宋"/>
          <w:sz w:val="32"/>
          <w:szCs w:val="32"/>
          <w:lang w:val="en-US" w:eastAsia="zh-CN"/>
        </w:rPr>
        <w:t>12个行政村</w:t>
      </w:r>
      <w:r>
        <w:rPr>
          <w:rFonts w:hint="eastAsia" w:ascii="仿宋" w:hAnsi="仿宋" w:eastAsia="仿宋" w:cs="仿宋"/>
          <w:sz w:val="32"/>
          <w:szCs w:val="32"/>
        </w:rPr>
        <w:t>，重点排查乡政府驻地村、乡镇范围内的农村社区、厂矿企业周边等区域的经营性自建房。</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2.重点场所</w:t>
      </w:r>
      <w:r>
        <w:rPr>
          <w:rFonts w:hint="eastAsia" w:ascii="仿宋" w:hAnsi="仿宋" w:eastAsia="仿宋" w:cs="仿宋"/>
          <w:sz w:val="32"/>
          <w:szCs w:val="32"/>
        </w:rPr>
        <w:t>：用于旅馆、饭店、商贸企业经营、养老机构、文化和旅游公共设施、医疗卫生机构、工程项目施工人员集中租住等人员密集场所的经营性自建房。</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3.重点房屋</w:t>
      </w:r>
      <w:r>
        <w:rPr>
          <w:rFonts w:hint="eastAsia" w:ascii="仿宋" w:hAnsi="仿宋" w:eastAsia="仿宋" w:cs="仿宋"/>
          <w:sz w:val="32"/>
          <w:szCs w:val="32"/>
        </w:rPr>
        <w:t>：3层及以上、6米以上跨度、结构形式复杂、加建改建扩建、住宅改门店、人员密集等容易造成重大安全事故的经营性自建房。</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4.重点内容</w:t>
      </w:r>
      <w:r>
        <w:rPr>
          <w:rFonts w:hint="eastAsia" w:ascii="仿宋" w:hAnsi="仿宋" w:eastAsia="仿宋" w:cs="仿宋"/>
          <w:sz w:val="32"/>
          <w:szCs w:val="32"/>
        </w:rPr>
        <w:t>：全面摸清经营性自建房基本情况，重点排查经营性自建房结构安全性、经营安全性、房屋建设合法合规性等内容。</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房屋基本情况</w:t>
      </w:r>
      <w:r>
        <w:rPr>
          <w:rFonts w:hint="eastAsia" w:ascii="仿宋" w:hAnsi="仿宋" w:eastAsia="仿宋" w:cs="仿宋"/>
          <w:b/>
          <w:bCs/>
          <w:sz w:val="32"/>
          <w:szCs w:val="32"/>
        </w:rPr>
        <w:t>。</w:t>
      </w:r>
      <w:r>
        <w:rPr>
          <w:rFonts w:hint="eastAsia" w:ascii="仿宋" w:hAnsi="仿宋" w:eastAsia="仿宋" w:cs="仿宋"/>
          <w:sz w:val="32"/>
          <w:szCs w:val="32"/>
        </w:rPr>
        <w:t>排查经营性自建房建设地点、产权人（使用人）、房屋用途、土地性质、所在区域、建筑层数及面积、建造年代、设计建造方式、结构类型等。</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）房屋安全情况。选址安全，</w:t>
      </w:r>
      <w:r>
        <w:rPr>
          <w:rFonts w:hint="eastAsia" w:ascii="仿宋" w:hAnsi="仿宋" w:eastAsia="仿宋" w:cs="仿宋"/>
          <w:sz w:val="32"/>
          <w:szCs w:val="32"/>
          <w:lang w:eastAsia="zh-CN"/>
        </w:rPr>
        <w:t>主要排查经营性自建房</w:t>
      </w:r>
      <w:r>
        <w:rPr>
          <w:rFonts w:hint="eastAsia" w:ascii="仿宋" w:hAnsi="仿宋" w:eastAsia="仿宋" w:cs="仿宋"/>
          <w:sz w:val="32"/>
          <w:szCs w:val="32"/>
        </w:rPr>
        <w:t>是否位于地质灾害易发区、场地周边是否存在安全隐患、边坡是否稳定等；</w:t>
      </w:r>
      <w:r>
        <w:rPr>
          <w:rFonts w:hint="eastAsia" w:ascii="仿宋" w:hAnsi="仿宋" w:eastAsia="仿宋" w:cs="仿宋"/>
          <w:b/>
          <w:bCs/>
          <w:sz w:val="32"/>
          <w:szCs w:val="32"/>
        </w:rPr>
        <w:t>结构安全，</w:t>
      </w:r>
      <w:r>
        <w:rPr>
          <w:rFonts w:hint="eastAsia" w:ascii="仿宋" w:hAnsi="仿宋" w:eastAsia="仿宋" w:cs="仿宋"/>
          <w:sz w:val="32"/>
          <w:szCs w:val="32"/>
        </w:rPr>
        <w:t>主要排查自建房是否有设计图，设计图是否由具有资质的专业单位设计，是否由具有资质的专业施工单位或培训合格的农村建筑工匠建设，</w:t>
      </w:r>
      <w:r>
        <w:rPr>
          <w:rFonts w:hint="eastAsia" w:ascii="仿宋" w:hAnsi="仿宋" w:eastAsia="仿宋" w:cs="仿宋"/>
          <w:b/>
          <w:bCs/>
          <w:sz w:val="32"/>
          <w:szCs w:val="32"/>
        </w:rPr>
        <w:t>地基基础、</w:t>
      </w:r>
      <w:r>
        <w:rPr>
          <w:rFonts w:hint="eastAsia" w:ascii="仿宋" w:hAnsi="仿宋" w:eastAsia="仿宋" w:cs="仿宋"/>
          <w:sz w:val="32"/>
          <w:szCs w:val="32"/>
        </w:rPr>
        <w:t>上部结构和预制板房是否存在安全隐患；</w:t>
      </w:r>
      <w:r>
        <w:rPr>
          <w:rFonts w:hint="eastAsia" w:ascii="仿宋" w:hAnsi="仿宋" w:eastAsia="仿宋" w:cs="仿宋"/>
          <w:b/>
          <w:bCs/>
          <w:sz w:val="32"/>
          <w:szCs w:val="32"/>
        </w:rPr>
        <w:t>使用安全，</w:t>
      </w:r>
      <w:r>
        <w:rPr>
          <w:rFonts w:hint="eastAsia" w:ascii="仿宋" w:hAnsi="仿宋" w:eastAsia="仿宋" w:cs="仿宋"/>
          <w:sz w:val="32"/>
          <w:szCs w:val="32"/>
        </w:rPr>
        <w:t>主要排查经营性自建房是否年久失修、改变承重结构装修，各类外装修及外挂保温层、装饰线条、广告牌匾、贴面是否有脱落危险，电梯等特种设备是否符合安全要求等；</w:t>
      </w:r>
      <w:r>
        <w:rPr>
          <w:rFonts w:hint="eastAsia" w:ascii="仿宋" w:hAnsi="仿宋" w:eastAsia="仿宋" w:cs="仿宋"/>
          <w:b/>
          <w:bCs/>
          <w:sz w:val="32"/>
          <w:szCs w:val="32"/>
        </w:rPr>
        <w:t>建筑材料安全，</w:t>
      </w:r>
      <w:r>
        <w:rPr>
          <w:rFonts w:hint="eastAsia" w:ascii="仿宋" w:hAnsi="仿宋" w:eastAsia="仿宋" w:cs="仿宋"/>
          <w:sz w:val="32"/>
          <w:szCs w:val="32"/>
        </w:rPr>
        <w:t>主要排查经营性自建房是否使用有毒易燃建筑装饰材料，是否使用不合格的建筑材料等。</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经营场所安全情况。</w:t>
      </w:r>
      <w:r>
        <w:rPr>
          <w:rFonts w:hint="eastAsia" w:ascii="仿宋" w:hAnsi="仿宋" w:eastAsia="仿宋" w:cs="仿宋"/>
          <w:sz w:val="32"/>
          <w:szCs w:val="32"/>
        </w:rPr>
        <w:t>排查相关经营许可办理情况，房屋安全鉴定情况，以及消防设施是否按要求配置并且能正常使用，安全疏散通道和安全出口是否畅通，电气、燃气设备安装使用及线路管路敷设维护是否符合要求，餐饮场所是否违规使用瓶装液化气等情况。</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房屋合法合规情况。</w:t>
      </w:r>
      <w:r>
        <w:rPr>
          <w:rFonts w:hint="eastAsia" w:ascii="仿宋" w:hAnsi="仿宋" w:eastAsia="仿宋" w:cs="仿宋"/>
          <w:sz w:val="32"/>
          <w:szCs w:val="32"/>
        </w:rPr>
        <w:t>排查经营性自建房用地、规划、建设、消防、设施设备等相关手续办理和违规改扩建、违规改变房屋用途、违法审批等情况。</w:t>
      </w:r>
    </w:p>
    <w:p>
      <w:pPr>
        <w:ind w:firstLine="640" w:firstLineChars="200"/>
        <w:rPr>
          <w:rFonts w:hint="eastAsia" w:ascii="仿宋" w:hAnsi="仿宋" w:eastAsia="仿宋" w:cs="仿宋"/>
          <w:sz w:val="32"/>
          <w:szCs w:val="32"/>
        </w:rPr>
      </w:pPr>
      <w:r>
        <w:rPr>
          <w:rFonts w:hint="eastAsia" w:ascii="楷体" w:hAnsi="楷体" w:eastAsia="楷体" w:cs="楷体"/>
          <w:b w:val="0"/>
          <w:bCs w:val="0"/>
          <w:sz w:val="32"/>
          <w:szCs w:val="32"/>
        </w:rPr>
        <w:t>(二）同步开展鉴定</w:t>
      </w:r>
      <w:r>
        <w:rPr>
          <w:rFonts w:hint="eastAsia" w:ascii="楷体" w:hAnsi="楷体" w:eastAsia="楷体" w:cs="楷体"/>
          <w:b w:val="0"/>
          <w:bCs w:val="0"/>
          <w:sz w:val="32"/>
          <w:szCs w:val="32"/>
          <w:lang w:eastAsia="zh-CN"/>
        </w:rPr>
        <w:t>。</w:t>
      </w:r>
      <w:r>
        <w:rPr>
          <w:rFonts w:hint="eastAsia" w:ascii="仿宋" w:hAnsi="仿宋" w:eastAsia="仿宋" w:cs="仿宋"/>
          <w:sz w:val="32"/>
          <w:szCs w:val="32"/>
          <w:lang w:val="en-US" w:eastAsia="zh-CN"/>
        </w:rPr>
        <w:t>县住建局</w:t>
      </w:r>
      <w:r>
        <w:rPr>
          <w:rFonts w:hint="eastAsia" w:ascii="仿宋" w:hAnsi="仿宋" w:eastAsia="仿宋" w:cs="仿宋"/>
          <w:sz w:val="32"/>
          <w:szCs w:val="32"/>
        </w:rPr>
        <w:t>组织专业机构，对经营性自建房同步开展房屋安全鉴定，精准查找隐患部位，针对性地提出整治措施。所有经营性自建房，必须由具备资格能力的专业机构进行房屋安全鉴定，出具合法、真实、整体性的鉴定报告。</w:t>
      </w:r>
    </w:p>
    <w:p>
      <w:pPr>
        <w:ind w:firstLine="640" w:firstLineChars="200"/>
        <w:rPr>
          <w:rFonts w:hint="eastAsia" w:ascii="仿宋" w:hAnsi="仿宋" w:eastAsia="仿宋" w:cs="仿宋"/>
          <w:sz w:val="32"/>
          <w:szCs w:val="32"/>
          <w:lang w:eastAsia="zh-CN"/>
        </w:rPr>
      </w:pPr>
      <w:r>
        <w:rPr>
          <w:rFonts w:hint="eastAsia" w:ascii="楷体" w:hAnsi="楷体" w:eastAsia="楷体" w:cs="楷体"/>
          <w:b w:val="0"/>
          <w:bCs w:val="0"/>
          <w:sz w:val="32"/>
          <w:szCs w:val="32"/>
          <w:lang w:eastAsia="zh-CN"/>
        </w:rPr>
        <w:t>（三）及时消除隐患。乡</w:t>
      </w:r>
      <w:r>
        <w:rPr>
          <w:rFonts w:hint="eastAsia" w:ascii="仿宋" w:hAnsi="仿宋" w:eastAsia="仿宋" w:cs="仿宋"/>
          <w:sz w:val="32"/>
          <w:szCs w:val="32"/>
          <w:lang w:val="en-US" w:eastAsia="zh-CN"/>
        </w:rPr>
        <w:t>村两级</w:t>
      </w:r>
      <w:r>
        <w:rPr>
          <w:rFonts w:hint="eastAsia" w:ascii="仿宋" w:hAnsi="仿宋" w:eastAsia="仿宋" w:cs="仿宋"/>
          <w:sz w:val="32"/>
          <w:szCs w:val="32"/>
          <w:lang w:eastAsia="zh-CN"/>
        </w:rPr>
        <w:t>对存在风险隐患的重点经营自建房，要果断采取措施，同步开展整治，及时消除风险隐患。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对排查初判存在坍塌风险、重大火灾风险等严重安全隐患的经营性自建房，应当立即依法清人、停用、封房，明确危险区域，设置警示标识，现场排险处置，确保不住人、不管业、不使用，并交由专业机构进行房屋安全鉴定。未按要求清人、停用、封房的，各</w:t>
      </w:r>
      <w:r>
        <w:rPr>
          <w:rFonts w:hint="eastAsia" w:ascii="仿宋" w:hAnsi="仿宋" w:eastAsia="仿宋" w:cs="仿宋"/>
          <w:sz w:val="32"/>
          <w:szCs w:val="32"/>
          <w:lang w:eastAsia="zh-CN"/>
        </w:rPr>
        <w:t>村</w:t>
      </w:r>
      <w:r>
        <w:rPr>
          <w:rFonts w:hint="eastAsia" w:ascii="仿宋" w:hAnsi="仿宋" w:eastAsia="仿宋" w:cs="仿宋"/>
          <w:sz w:val="32"/>
          <w:szCs w:val="32"/>
        </w:rPr>
        <w:t>要按照行政强制法等法律法规，依法依规采取停止供水、供电、供气服务等措施强制执行。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2.对排查发现未取得土地、规划、建设等手续擅自建房，未按照许可规定建房，违规加层、改扩建、住宅改门店、改变承重结构装修，</w:t>
      </w:r>
      <w:r>
        <w:rPr>
          <w:rFonts w:hint="eastAsia" w:ascii="仿宋" w:hAnsi="仿宋" w:eastAsia="仿宋" w:cs="仿宋"/>
          <w:sz w:val="32"/>
          <w:szCs w:val="32"/>
          <w:lang w:eastAsia="zh-CN"/>
        </w:rPr>
        <w:t>擅</w:t>
      </w:r>
      <w:r>
        <w:rPr>
          <w:rFonts w:hint="eastAsia" w:ascii="仿宋" w:hAnsi="仿宋" w:eastAsia="仿宋" w:cs="仿宋"/>
          <w:sz w:val="32"/>
          <w:szCs w:val="32"/>
        </w:rPr>
        <w:t>自改变房屋用途，非法开挖地下空间等行为的，移交相关主管部门处置。对存在严重安全隐患，危及公共安全的违法建设部分，依法予以拆除。</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3.对排查发现存在违规经营行为的，移交相关主管部门处置，对违法建筑内的违规经营活动，坚决依法予以停业整顿。存在违法建设、违法违规审批问题的自建房，不得用于经营活</w:t>
      </w:r>
      <w:r>
        <w:rPr>
          <w:rFonts w:hint="eastAsia" w:ascii="仿宋" w:hAnsi="仿宋" w:eastAsia="仿宋" w:cs="仿宋"/>
          <w:sz w:val="32"/>
          <w:szCs w:val="32"/>
          <w:lang w:val="en-US" w:eastAsia="zh-CN"/>
        </w:rPr>
        <w:t>动</w:t>
      </w:r>
      <w:r>
        <w:rPr>
          <w:rFonts w:hint="eastAsia" w:ascii="仿宋" w:hAnsi="仿宋" w:eastAsia="仿宋" w:cs="仿宋"/>
          <w:sz w:val="32"/>
          <w:szCs w:val="32"/>
          <w:lang w:eastAsia="zh-CN"/>
        </w:rPr>
        <w:t>。</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保障措施</w:t>
      </w:r>
    </w:p>
    <w:p>
      <w:pPr>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w:t>
      </w:r>
      <w:r>
        <w:rPr>
          <w:rFonts w:hint="eastAsia" w:ascii="楷体" w:hAnsi="楷体" w:eastAsia="楷体" w:cs="楷体"/>
          <w:b w:val="0"/>
          <w:bCs w:val="0"/>
          <w:sz w:val="32"/>
          <w:szCs w:val="32"/>
          <w:lang w:val="en-US" w:eastAsia="zh-CN"/>
        </w:rPr>
        <w:t>压紧</w:t>
      </w:r>
      <w:r>
        <w:rPr>
          <w:rFonts w:hint="eastAsia" w:ascii="楷体" w:hAnsi="楷体" w:eastAsia="楷体" w:cs="楷体"/>
          <w:b w:val="0"/>
          <w:bCs w:val="0"/>
          <w:sz w:val="32"/>
          <w:szCs w:val="32"/>
        </w:rPr>
        <w:t>压实责任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各村严格落实属地责任，对辖区内经营性自建房专项整治“百日行动”负总责，组织开展全面排查，根据各自辖区实际，确定排查时间表、路线图，网格化推动工作落实。</w:t>
      </w:r>
      <w:r>
        <w:rPr>
          <w:rFonts w:hint="eastAsia" w:ascii="仿宋_GB2312" w:hAnsi="仿宋_GB2312" w:eastAsia="仿宋_GB2312" w:cs="仿宋_GB2312"/>
          <w:sz w:val="32"/>
          <w:szCs w:val="32"/>
          <w:lang w:val="en-US" w:eastAsia="zh-CN"/>
        </w:rPr>
        <w:t>行业主管部门依照《山阴县自建房安全专项整治工作方案》中的部门职责，</w:t>
      </w:r>
      <w:r>
        <w:rPr>
          <w:rFonts w:hint="eastAsia" w:ascii="仿宋" w:hAnsi="仿宋" w:eastAsia="仿宋" w:cs="仿宋"/>
          <w:color w:val="auto"/>
          <w:kern w:val="2"/>
          <w:sz w:val="32"/>
          <w:szCs w:val="32"/>
          <w:u w:val="none"/>
          <w:lang w:val="en-US" w:eastAsia="zh-CN" w:bidi="ar-SA"/>
        </w:rPr>
        <w:t>严格落实“管行业必须管安全、管业务必须管安全、管生产经营必须管安全”原则，将自建房安全纳入行业安全监管范畴，</w:t>
      </w:r>
      <w:r>
        <w:rPr>
          <w:rFonts w:hint="eastAsia" w:ascii="仿宋_GB2312" w:hAnsi="仿宋_GB2312" w:eastAsia="仿宋_GB2312" w:cs="仿宋_GB2312"/>
          <w:sz w:val="32"/>
          <w:szCs w:val="32"/>
          <w:lang w:val="en-US" w:eastAsia="zh-CN"/>
        </w:rPr>
        <w:t>对“百日行动”进行全程指导和服务。</w:t>
      </w:r>
      <w:r>
        <w:rPr>
          <w:rFonts w:hint="eastAsia" w:ascii="仿宋" w:hAnsi="仿宋" w:eastAsia="仿宋" w:cs="仿宋"/>
          <w:sz w:val="32"/>
          <w:szCs w:val="32"/>
        </w:rPr>
        <w:t>房屋产权人（使用人）履行首要责任，自觉遵守房屋安全管理各项规定，按要求完成整治。</w:t>
      </w:r>
    </w:p>
    <w:p>
      <w:pPr>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(二）强化督导检查</w:t>
      </w:r>
    </w:p>
    <w:p>
      <w:pPr>
        <w:ind w:firstLine="640" w:firstLineChars="200"/>
        <w:rPr>
          <w:rFonts w:hint="default" w:ascii="仿宋" w:hAnsi="仿宋" w:eastAsia="仿宋" w:cs="仿宋"/>
          <w:sz w:val="32"/>
          <w:szCs w:val="32"/>
          <w:lang w:val="en-US"/>
        </w:rPr>
      </w:pPr>
      <w:r>
        <w:rPr>
          <w:rFonts w:hint="eastAsia" w:ascii="仿宋_GB2312" w:hAnsi="仿宋_GB2312" w:eastAsia="仿宋_GB2312" w:cs="仿宋_GB2312"/>
          <w:sz w:val="32"/>
          <w:szCs w:val="32"/>
          <w:lang w:val="en-US" w:eastAsia="zh-CN"/>
        </w:rPr>
        <w:t>我乡成立自建房安全专项整治领导小组，统筹全乡自建房安全专项整治工作，负责组织推动、工作协调、工作保障和督促指导。对全乡12个行政村开展“百日行动”实施情况至少每月开展一次实地督导检查，并</w:t>
      </w:r>
      <w:r>
        <w:rPr>
          <w:rFonts w:hint="eastAsia" w:ascii="仿宋" w:hAnsi="仿宋" w:eastAsia="仿宋" w:cs="仿宋"/>
          <w:sz w:val="32"/>
          <w:szCs w:val="32"/>
        </w:rPr>
        <w:t>组织技术专家</w:t>
      </w:r>
      <w:r>
        <w:rPr>
          <w:rFonts w:hint="eastAsia" w:ascii="仿宋" w:hAnsi="仿宋" w:eastAsia="仿宋" w:cs="仿宋"/>
          <w:sz w:val="32"/>
          <w:szCs w:val="32"/>
          <w:lang w:val="en-US" w:eastAsia="zh-CN"/>
        </w:rPr>
        <w:t>实地</w:t>
      </w:r>
      <w:r>
        <w:rPr>
          <w:rFonts w:hint="eastAsia" w:ascii="仿宋_GB2312" w:hAnsi="仿宋_GB2312" w:eastAsia="仿宋_GB2312" w:cs="仿宋_GB2312"/>
          <w:sz w:val="32"/>
          <w:szCs w:val="32"/>
          <w:lang w:val="en-US" w:eastAsia="zh-CN"/>
        </w:rPr>
        <w:t>指导帮扶，确保工作质量。</w:t>
      </w:r>
    </w:p>
    <w:p>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长：徐晓圆  党委书记</w:t>
      </w:r>
    </w:p>
    <w:p>
      <w:pPr>
        <w:numPr>
          <w:ilvl w:val="0"/>
          <w:numId w:val="0"/>
        </w:numPr>
        <w:bidi w:val="0"/>
        <w:ind w:firstLine="2560" w:firstLineChars="8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龙海鹰  党委副书记、乡长</w:t>
      </w:r>
    </w:p>
    <w:p>
      <w:pPr>
        <w:numPr>
          <w:ilvl w:val="0"/>
          <w:numId w:val="0"/>
        </w:numPr>
        <w:bidi w:val="0"/>
        <w:ind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常务副组长：祝步翔  党委委员、副乡长 </w:t>
      </w:r>
    </w:p>
    <w:p>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  组  长：曹宝文  人大主席</w:t>
      </w:r>
    </w:p>
    <w:p>
      <w:pPr>
        <w:numPr>
          <w:ilvl w:val="0"/>
          <w:numId w:val="0"/>
        </w:numPr>
        <w:bidi w:val="0"/>
        <w:ind w:firstLine="2560" w:firstLineChars="8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白志安  党委副书记</w:t>
      </w:r>
    </w:p>
    <w:p>
      <w:pPr>
        <w:pStyle w:val="7"/>
        <w:ind w:left="0" w:leftChars="0" w:firstLine="2560" w:firstLineChars="800"/>
        <w:rPr>
          <w:rFonts w:hint="eastAsia" w:ascii="仿宋" w:hAnsi="仿宋" w:cs="仿宋"/>
          <w:sz w:val="32"/>
          <w:szCs w:val="32"/>
          <w:lang w:val="en-US" w:eastAsia="zh-CN"/>
        </w:rPr>
      </w:pPr>
      <w:r>
        <w:rPr>
          <w:rFonts w:hint="eastAsia" w:ascii="仿宋" w:hAnsi="仿宋" w:cs="仿宋"/>
          <w:sz w:val="32"/>
          <w:szCs w:val="32"/>
          <w:lang w:val="en-US" w:eastAsia="zh-CN"/>
        </w:rPr>
        <w:t>尹  富  纪委书记</w:t>
      </w:r>
    </w:p>
    <w:p>
      <w:pPr>
        <w:pStyle w:val="7"/>
        <w:ind w:left="0" w:leftChars="0" w:firstLine="2560" w:firstLineChars="800"/>
        <w:rPr>
          <w:rFonts w:hint="eastAsia" w:ascii="仿宋" w:hAnsi="仿宋" w:cs="仿宋"/>
          <w:sz w:val="32"/>
          <w:szCs w:val="32"/>
          <w:lang w:val="en-US" w:eastAsia="zh-CN"/>
        </w:rPr>
      </w:pPr>
      <w:r>
        <w:rPr>
          <w:rFonts w:hint="eastAsia" w:ascii="仿宋" w:hAnsi="仿宋" w:cs="仿宋"/>
          <w:sz w:val="32"/>
          <w:szCs w:val="32"/>
          <w:lang w:val="en-US" w:eastAsia="zh-CN"/>
        </w:rPr>
        <w:t>高永军  党委委员、组织委员</w:t>
      </w:r>
    </w:p>
    <w:p>
      <w:pPr>
        <w:pStyle w:val="7"/>
        <w:ind w:firstLine="2620" w:firstLineChars="819"/>
        <w:rPr>
          <w:rFonts w:hint="eastAsia" w:ascii="仿宋" w:hAnsi="仿宋" w:cs="仿宋"/>
          <w:sz w:val="32"/>
          <w:szCs w:val="32"/>
          <w:lang w:val="en-US" w:eastAsia="zh-CN"/>
        </w:rPr>
      </w:pPr>
      <w:r>
        <w:rPr>
          <w:rFonts w:hint="eastAsia" w:ascii="仿宋" w:hAnsi="仿宋" w:cs="仿宋"/>
          <w:sz w:val="32"/>
          <w:szCs w:val="32"/>
          <w:lang w:val="en-US" w:eastAsia="zh-CN"/>
        </w:rPr>
        <w:t>闫宏伟  党委委员、武装部长</w:t>
      </w:r>
    </w:p>
    <w:p>
      <w:pPr>
        <w:pStyle w:val="7"/>
        <w:ind w:firstLine="2620" w:firstLineChars="819"/>
        <w:rPr>
          <w:rFonts w:hint="eastAsia" w:ascii="仿宋" w:hAnsi="仿宋" w:cs="仿宋"/>
          <w:sz w:val="32"/>
          <w:szCs w:val="32"/>
          <w:lang w:val="en-US" w:eastAsia="zh-CN"/>
        </w:rPr>
      </w:pPr>
      <w:r>
        <w:rPr>
          <w:rFonts w:hint="eastAsia" w:ascii="仿宋" w:hAnsi="仿宋" w:cs="仿宋"/>
          <w:sz w:val="32"/>
          <w:szCs w:val="32"/>
          <w:lang w:val="en-US" w:eastAsia="zh-CN"/>
        </w:rPr>
        <w:t>孟  升  副乡长</w:t>
      </w:r>
    </w:p>
    <w:p>
      <w:pPr>
        <w:pStyle w:val="7"/>
        <w:ind w:firstLine="2620" w:firstLineChars="819"/>
        <w:rPr>
          <w:rFonts w:hint="eastAsia" w:ascii="仿宋" w:hAnsi="仿宋" w:cs="仿宋"/>
          <w:sz w:val="32"/>
          <w:szCs w:val="32"/>
          <w:lang w:val="en-US" w:eastAsia="zh-CN"/>
        </w:rPr>
      </w:pPr>
      <w:r>
        <w:rPr>
          <w:rFonts w:hint="eastAsia" w:ascii="仿宋" w:hAnsi="仿宋" w:cs="仿宋"/>
          <w:sz w:val="32"/>
          <w:szCs w:val="32"/>
          <w:lang w:val="en-US" w:eastAsia="zh-CN"/>
        </w:rPr>
        <w:t>李逸翔  副乡长</w:t>
      </w:r>
    </w:p>
    <w:p>
      <w:pPr>
        <w:pStyle w:val="7"/>
        <w:ind w:firstLine="2620" w:firstLineChars="819"/>
        <w:rPr>
          <w:rFonts w:hint="eastAsia" w:ascii="仿宋" w:hAnsi="仿宋" w:cs="仿宋"/>
          <w:sz w:val="32"/>
          <w:szCs w:val="32"/>
          <w:lang w:val="en-US" w:eastAsia="zh-CN"/>
        </w:rPr>
      </w:pPr>
      <w:r>
        <w:rPr>
          <w:rFonts w:hint="eastAsia" w:ascii="仿宋" w:hAnsi="仿宋" w:cs="仿宋"/>
          <w:sz w:val="32"/>
          <w:szCs w:val="32"/>
          <w:lang w:val="en-US" w:eastAsia="zh-CN"/>
        </w:rPr>
        <w:t>李德欣  便民服务中心主任</w:t>
      </w:r>
    </w:p>
    <w:p>
      <w:pPr>
        <w:pStyle w:val="7"/>
        <w:ind w:firstLine="2620" w:firstLineChars="819"/>
        <w:rPr>
          <w:rFonts w:hint="eastAsia" w:ascii="仿宋" w:hAnsi="仿宋" w:cs="仿宋"/>
          <w:sz w:val="32"/>
          <w:szCs w:val="32"/>
          <w:lang w:val="en-US" w:eastAsia="zh-CN"/>
        </w:rPr>
      </w:pPr>
      <w:r>
        <w:rPr>
          <w:rFonts w:hint="eastAsia" w:ascii="仿宋" w:hAnsi="仿宋" w:cs="仿宋"/>
          <w:sz w:val="32"/>
          <w:szCs w:val="32"/>
          <w:lang w:val="en-US" w:eastAsia="zh-CN"/>
        </w:rPr>
        <w:t>罗永奇  退役军人服务站站长</w:t>
      </w:r>
    </w:p>
    <w:p>
      <w:pPr>
        <w:pStyle w:val="7"/>
        <w:ind w:firstLine="2620" w:firstLineChars="819"/>
        <w:rPr>
          <w:rFonts w:hint="default" w:ascii="仿宋" w:hAnsi="仿宋" w:cs="仿宋"/>
          <w:sz w:val="32"/>
          <w:szCs w:val="32"/>
          <w:lang w:val="en-US" w:eastAsia="zh-CN"/>
        </w:rPr>
      </w:pPr>
      <w:r>
        <w:rPr>
          <w:rFonts w:hint="eastAsia" w:ascii="仿宋" w:hAnsi="仿宋" w:cs="仿宋"/>
          <w:sz w:val="32"/>
          <w:szCs w:val="32"/>
          <w:lang w:val="en-US" w:eastAsia="zh-CN"/>
        </w:rPr>
        <w:t>张建伟  党群服务中心主任</w:t>
      </w:r>
    </w:p>
    <w:p>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成      员：李凌伟 </w:t>
      </w:r>
    </w:p>
    <w:p>
      <w:pPr>
        <w:numPr>
          <w:ilvl w:val="0"/>
          <w:numId w:val="0"/>
        </w:numPr>
        <w:bidi w:val="0"/>
        <w:ind w:firstLine="2560" w:firstLineChars="8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各村支部书记、主任 网格员</w:t>
      </w:r>
    </w:p>
    <w:p>
      <w:pPr>
        <w:pStyle w:val="7"/>
        <w:ind w:firstLine="700" w:firstLineChars="219"/>
        <w:rPr>
          <w:rFonts w:hint="default"/>
          <w:lang w:val="en-US" w:eastAsia="zh-CN"/>
        </w:rPr>
      </w:pPr>
      <w:r>
        <w:rPr>
          <w:rFonts w:hint="eastAsia" w:ascii="仿宋" w:hAnsi="仿宋" w:cs="仿宋"/>
          <w:sz w:val="32"/>
          <w:szCs w:val="32"/>
          <w:lang w:val="en-US" w:eastAsia="zh-CN"/>
        </w:rPr>
        <w:t>领导小组下设办公室，办公室主任由祝步翔同志兼任。</w:t>
      </w:r>
    </w:p>
    <w:p>
      <w:pPr>
        <w:ind w:firstLine="640" w:firstLineChars="200"/>
        <w:rPr>
          <w:rFonts w:hint="eastAsia" w:ascii="仿宋" w:hAnsi="仿宋" w:eastAsia="仿宋" w:cs="仿宋"/>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台帐清单管理。</w:t>
      </w:r>
      <w:r>
        <w:rPr>
          <w:rFonts w:hint="eastAsia" w:ascii="仿宋" w:hAnsi="仿宋" w:eastAsia="仿宋" w:cs="仿宋"/>
          <w:sz w:val="32"/>
          <w:szCs w:val="32"/>
          <w:lang w:val="en-US" w:eastAsia="zh-CN"/>
        </w:rPr>
        <w:t>建立乡村</w:t>
      </w:r>
      <w:r>
        <w:rPr>
          <w:rFonts w:hint="eastAsia" w:ascii="仿宋" w:hAnsi="仿宋" w:eastAsia="仿宋" w:cs="仿宋"/>
          <w:sz w:val="32"/>
          <w:szCs w:val="32"/>
        </w:rPr>
        <w:t>两级“百日行动”工作台账，对排查发现的各类风险隐患，列出隐患清单、整治清单，明确整改措施和时限，督促房屋产权人（使用人）对照清单要求按期完成整治。经营性自建房整治完成后，由县级自建房安全专项整治领导小组</w:t>
      </w:r>
      <w:r>
        <w:rPr>
          <w:rFonts w:hint="eastAsia" w:ascii="仿宋_GB2312" w:hAnsi="仿宋_GB2312" w:eastAsia="仿宋_GB2312" w:cs="仿宋_GB2312"/>
          <w:sz w:val="32"/>
          <w:szCs w:val="32"/>
          <w:lang w:val="en-US" w:eastAsia="zh-CN"/>
        </w:rPr>
        <w:t>聘请第三方机构进行</w:t>
      </w:r>
      <w:r>
        <w:rPr>
          <w:rFonts w:hint="eastAsia" w:ascii="仿宋" w:hAnsi="仿宋" w:eastAsia="仿宋" w:cs="仿宋"/>
          <w:sz w:val="32"/>
          <w:szCs w:val="32"/>
        </w:rPr>
        <w:t>验收，实行销号管理，验收一户，</w:t>
      </w:r>
      <w:r>
        <w:rPr>
          <w:rFonts w:hint="eastAsia" w:ascii="仿宋" w:hAnsi="仿宋" w:eastAsia="仿宋" w:cs="仿宋"/>
          <w:sz w:val="32"/>
          <w:szCs w:val="32"/>
          <w:lang w:eastAsia="zh-CN"/>
        </w:rPr>
        <w:t>销号一户。</w:t>
      </w:r>
    </w:p>
    <w:p>
      <w:pPr>
        <w:numPr>
          <w:ilvl w:val="0"/>
          <w:numId w:val="0"/>
        </w:numPr>
        <w:ind w:firstLine="640" w:firstLineChars="200"/>
        <w:rPr>
          <w:rFonts w:hint="eastAsia" w:ascii="仿宋" w:hAnsi="仿宋" w:eastAsia="仿宋" w:cs="仿宋"/>
          <w:sz w:val="32"/>
          <w:szCs w:val="32"/>
          <w:lang w:eastAsia="zh-CN"/>
        </w:rPr>
      </w:pPr>
      <w:r>
        <w:rPr>
          <w:rFonts w:hint="eastAsia" w:ascii="楷体" w:hAnsi="楷体" w:eastAsia="楷体" w:cs="楷体"/>
          <w:b w:val="0"/>
          <w:bCs w:val="0"/>
          <w:sz w:val="32"/>
          <w:szCs w:val="32"/>
          <w:lang w:eastAsia="zh-CN"/>
        </w:rPr>
        <w:t>（四）定期报送进度。</w:t>
      </w:r>
      <w:r>
        <w:rPr>
          <w:rFonts w:hint="eastAsia" w:ascii="仿宋" w:hAnsi="仿宋" w:eastAsia="仿宋" w:cs="仿宋"/>
          <w:sz w:val="32"/>
          <w:szCs w:val="32"/>
          <w:lang w:val="en-US" w:eastAsia="zh-CN"/>
        </w:rPr>
        <w:t>各村要明确专人负责，每周一上午下班前向乡自建房安全专项整治领导小组办公室报送上周“百日行动”工作推进情况，包括工作进度、召开会议、督促指导、建立机制、宣传发动等工作情况和典型做法。并</w:t>
      </w:r>
      <w:r>
        <w:rPr>
          <w:rFonts w:hint="default" w:ascii="仿宋" w:hAnsi="仿宋" w:eastAsia="仿宋" w:cs="仿宋"/>
          <w:sz w:val="32"/>
          <w:szCs w:val="32"/>
          <w:lang w:val="en-US" w:eastAsia="zh-CN"/>
        </w:rPr>
        <w:t>在</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底</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7</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底</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8</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底</w:t>
      </w:r>
      <w:r>
        <w:rPr>
          <w:rFonts w:hint="default" w:ascii="仿宋" w:hAnsi="仿宋" w:eastAsia="仿宋" w:cs="仿宋"/>
          <w:sz w:val="32"/>
          <w:szCs w:val="32"/>
          <w:lang w:val="en-US" w:eastAsia="zh-CN"/>
        </w:rPr>
        <w:t>，对</w:t>
      </w:r>
      <w:r>
        <w:rPr>
          <w:rFonts w:hint="eastAsia" w:ascii="仿宋" w:hAnsi="仿宋" w:eastAsia="仿宋" w:cs="仿宋"/>
          <w:sz w:val="32"/>
          <w:szCs w:val="32"/>
          <w:lang w:val="en-US" w:eastAsia="zh-CN"/>
        </w:rPr>
        <w:t>各自辖区</w:t>
      </w:r>
      <w:r>
        <w:rPr>
          <w:rFonts w:hint="default" w:ascii="仿宋" w:hAnsi="仿宋" w:eastAsia="仿宋" w:cs="仿宋"/>
          <w:sz w:val="32"/>
          <w:szCs w:val="32"/>
          <w:lang w:val="en-US" w:eastAsia="zh-CN"/>
        </w:rPr>
        <w:t>内排查、</w:t>
      </w:r>
      <w:r>
        <w:rPr>
          <w:rFonts w:hint="eastAsia" w:ascii="仿宋" w:hAnsi="仿宋" w:eastAsia="仿宋" w:cs="仿宋"/>
          <w:sz w:val="32"/>
          <w:szCs w:val="32"/>
          <w:lang w:val="en-US" w:eastAsia="zh-CN"/>
        </w:rPr>
        <w:t>鉴定</w:t>
      </w:r>
      <w:r>
        <w:rPr>
          <w:rFonts w:hint="default" w:ascii="仿宋" w:hAnsi="仿宋" w:eastAsia="仿宋" w:cs="仿宋"/>
          <w:sz w:val="32"/>
          <w:szCs w:val="32"/>
          <w:lang w:val="en-US" w:eastAsia="zh-CN"/>
        </w:rPr>
        <w:t>和</w:t>
      </w:r>
      <w:r>
        <w:rPr>
          <w:rFonts w:hint="eastAsia" w:ascii="仿宋" w:hAnsi="仿宋" w:eastAsia="仿宋" w:cs="仿宋"/>
          <w:sz w:val="32"/>
          <w:szCs w:val="32"/>
          <w:lang w:val="en-US" w:eastAsia="zh-CN"/>
        </w:rPr>
        <w:t>隐患整治等情况进行</w:t>
      </w:r>
      <w:r>
        <w:rPr>
          <w:rFonts w:hint="default" w:ascii="仿宋" w:hAnsi="仿宋" w:eastAsia="仿宋" w:cs="仿宋"/>
          <w:sz w:val="32"/>
          <w:szCs w:val="32"/>
          <w:lang w:val="en-US" w:eastAsia="zh-CN"/>
        </w:rPr>
        <w:t>阶段性</w:t>
      </w:r>
      <w:r>
        <w:rPr>
          <w:rFonts w:hint="eastAsia" w:ascii="仿宋" w:hAnsi="仿宋" w:eastAsia="仿宋" w:cs="仿宋"/>
          <w:sz w:val="32"/>
          <w:szCs w:val="32"/>
          <w:lang w:val="en-US" w:eastAsia="zh-CN"/>
        </w:rPr>
        <w:t>总结</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并</w:t>
      </w:r>
      <w:r>
        <w:rPr>
          <w:rFonts w:hint="default" w:ascii="仿宋" w:hAnsi="仿宋" w:eastAsia="仿宋" w:cs="仿宋"/>
          <w:sz w:val="32"/>
          <w:szCs w:val="32"/>
          <w:lang w:val="en-US" w:eastAsia="zh-CN"/>
        </w:rPr>
        <w:t>报</w:t>
      </w:r>
      <w:r>
        <w:rPr>
          <w:rFonts w:hint="eastAsia" w:ascii="仿宋" w:hAnsi="仿宋" w:eastAsia="仿宋" w:cs="仿宋"/>
          <w:sz w:val="32"/>
          <w:szCs w:val="32"/>
          <w:lang w:val="en-US" w:eastAsia="zh-CN"/>
        </w:rPr>
        <w:t>乡</w:t>
      </w:r>
      <w:r>
        <w:rPr>
          <w:rFonts w:hint="default" w:ascii="仿宋" w:hAnsi="仿宋" w:eastAsia="仿宋" w:cs="仿宋"/>
          <w:sz w:val="32"/>
          <w:szCs w:val="32"/>
          <w:lang w:val="en-US" w:eastAsia="zh-CN"/>
        </w:rPr>
        <w:t>自建房安全隐患排查整治工作领导小组办公室。</w:t>
      </w:r>
    </w:p>
    <w:p>
      <w:pPr>
        <w:ind w:firstLine="640" w:firstLineChars="200"/>
        <w:rPr>
          <w:rFonts w:hint="eastAsia" w:ascii="仿宋" w:hAnsi="仿宋" w:eastAsia="仿宋" w:cs="仿宋"/>
          <w:sz w:val="32"/>
          <w:szCs w:val="32"/>
        </w:rPr>
      </w:pPr>
      <w:r>
        <w:rPr>
          <w:rFonts w:hint="eastAsia" w:ascii="楷体" w:hAnsi="楷体" w:eastAsia="楷体" w:cs="楷体"/>
          <w:b w:val="0"/>
          <w:bCs w:val="0"/>
          <w:sz w:val="32"/>
          <w:szCs w:val="32"/>
        </w:rPr>
        <w:t>(五）加强宣传引导。</w:t>
      </w:r>
      <w:r>
        <w:rPr>
          <w:rFonts w:hint="eastAsia" w:ascii="仿宋_GB2312" w:hAnsi="仿宋_GB2312" w:eastAsia="仿宋_GB2312" w:cs="仿宋_GB2312"/>
          <w:sz w:val="32"/>
          <w:szCs w:val="32"/>
          <w:lang w:val="en-US" w:eastAsia="zh-CN"/>
        </w:rPr>
        <w:t>要充分利用报纸、电视、网络等媒体，多渠道广泛宣传开展“百日行劲”的重大意义，深入开展房屋安全科普教育，引导群众不断增强房屋安全意识。要向社会公开投诉举报电话邮箱，及时处理群众反映强烈的突出问题，建立群众举级奖励机制，一经查实，子以奖励。</w:t>
      </w:r>
    </w:p>
    <w:p>
      <w:pPr>
        <w:numPr>
          <w:ilvl w:val="0"/>
          <w:numId w:val="0"/>
        </w:numPr>
        <w:ind w:firstLine="640" w:firstLineChars="200"/>
        <w:rPr>
          <w:rFonts w:hint="default" w:ascii="仿宋" w:hAnsi="仿宋" w:eastAsia="仿宋" w:cs="仿宋"/>
          <w:sz w:val="32"/>
          <w:szCs w:val="32"/>
          <w:lang w:val="en-US"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附件：1.经营性自建房安全隐患排查整治统计表</w:t>
      </w:r>
    </w:p>
    <w:p>
      <w:pPr>
        <w:numPr>
          <w:numId w:val="0"/>
        </w:numPr>
        <w:ind w:firstLine="1600" w:firstLineChars="500"/>
        <w:rPr>
          <w:rFonts w:hint="eastAsia" w:ascii="仿宋" w:hAnsi="仿宋" w:eastAsia="仿宋" w:cs="仿宋"/>
          <w:sz w:val="32"/>
          <w:szCs w:val="32"/>
        </w:rPr>
      </w:pPr>
      <w:bookmarkStart w:id="0" w:name="_GoBack"/>
      <w:bookmarkEnd w:id="0"/>
      <w:r>
        <w:rPr>
          <w:rFonts w:hint="eastAsia" w:ascii="仿宋" w:hAnsi="仿宋" w:eastAsia="仿宋" w:cs="仿宋"/>
          <w:sz w:val="32"/>
          <w:szCs w:val="32"/>
          <w:lang w:val="en-US" w:eastAsia="zh-CN"/>
        </w:rPr>
        <w:t>2.</w:t>
      </w:r>
      <w:r>
        <w:rPr>
          <w:rFonts w:hint="eastAsia" w:ascii="仿宋" w:hAnsi="仿宋" w:eastAsia="仿宋" w:cs="仿宋"/>
          <w:sz w:val="32"/>
          <w:szCs w:val="32"/>
        </w:rPr>
        <w:t>经营性自建房违法违规建设情况排查整治统计表</w:t>
      </w:r>
    </w:p>
    <w:p>
      <w:pPr>
        <w:widowControl w:val="0"/>
        <w:numPr>
          <w:ilvl w:val="0"/>
          <w:numId w:val="0"/>
        </w:numPr>
        <w:jc w:val="both"/>
        <w:rPr>
          <w:rFonts w:hint="eastAsia" w:ascii="仿宋" w:hAnsi="仿宋" w:eastAsia="仿宋" w:cs="仿宋"/>
          <w:sz w:val="32"/>
          <w:szCs w:val="32"/>
        </w:rPr>
      </w:pP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中共吴马营乡委员会</w:t>
      </w:r>
    </w:p>
    <w:p>
      <w:pPr>
        <w:ind w:firstLine="4160" w:firstLineChars="1300"/>
        <w:rPr>
          <w:rFonts w:hint="default"/>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32"/>
          <w:szCs w:val="32"/>
          <w:lang w:val="en-US" w:eastAsia="zh-CN"/>
        </w:rPr>
        <w:t>2022年7月1日</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after="0" w:line="660" w:lineRule="exact"/>
        <w:ind w:firstLine="40"/>
        <w:jc w:val="center"/>
        <w:textAlignment w:val="auto"/>
        <w:rPr>
          <w:rFonts w:hint="eastAsia" w:asci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u w:val="single"/>
          <w:lang w:val="en-US" w:eastAsia="zh-CN"/>
        </w:rPr>
        <w:t xml:space="preserve">      村</w:t>
      </w:r>
      <w:r>
        <w:rPr>
          <w:rFonts w:hint="eastAsia" w:ascii="方正小标宋简体" w:eastAsia="方正小标宋简体" w:cs="方正小标宋简体"/>
          <w:sz w:val="44"/>
          <w:szCs w:val="44"/>
          <w:lang w:val="en-US" w:eastAsia="zh-CN"/>
        </w:rPr>
        <w:t>经营性自建房安全隐患排查整治统计表</w:t>
      </w:r>
    </w:p>
    <w:p>
      <w:pPr>
        <w:pStyle w:val="2"/>
        <w:keepNext w:val="0"/>
        <w:keepLines w:val="0"/>
        <w:pageBreakBefore w:val="0"/>
        <w:widowControl w:val="0"/>
        <w:kinsoku/>
        <w:wordWrap/>
        <w:overflowPunct/>
        <w:topLinePunct w:val="0"/>
        <w:autoSpaceDE/>
        <w:autoSpaceDN/>
        <w:bidi w:val="0"/>
        <w:adjustRightInd/>
        <w:snapToGrid/>
        <w:spacing w:after="0" w:line="400" w:lineRule="exact"/>
        <w:jc w:val="right"/>
        <w:textAlignment w:val="auto"/>
        <w:rPr>
          <w:rFonts w:hint="eastAsia" w:eastAsia="仿宋_GB2312" w:cs="仿宋_GB2312"/>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00" w:lineRule="exact"/>
        <w:jc w:val="right"/>
        <w:textAlignment w:val="auto"/>
        <w:rPr>
          <w:rFonts w:hint="eastAsia" w:ascii="仿宋_GB2312" w:hAnsi="仿宋_GB2312" w:eastAsia="仿宋_GB2312" w:cs="仿宋_GB2312"/>
          <w:sz w:val="28"/>
          <w:szCs w:val="28"/>
          <w:lang w:val="en-US" w:eastAsia="zh-CN"/>
        </w:rPr>
      </w:pPr>
      <w:r>
        <w:rPr>
          <w:rFonts w:hint="eastAsia" w:eastAsia="仿宋_GB2312" w:cs="仿宋_GB2312"/>
          <w:sz w:val="28"/>
          <w:szCs w:val="28"/>
          <w:lang w:val="en-US" w:eastAsia="zh-CN"/>
        </w:rPr>
        <w:t>填报人：         联系电话：         填报</w:t>
      </w:r>
      <w:r>
        <w:rPr>
          <w:rFonts w:hint="eastAsia" w:ascii="仿宋_GB2312" w:hAnsi="仿宋_GB2312" w:eastAsia="仿宋_GB2312" w:cs="仿宋_GB2312"/>
          <w:sz w:val="28"/>
          <w:szCs w:val="28"/>
          <w:lang w:val="en-US" w:eastAsia="zh-CN"/>
        </w:rPr>
        <w:t>日期：</w:t>
      </w:r>
      <w:r>
        <w:rPr>
          <w:rFonts w:hint="eastAsia"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单位：</w:t>
      </w:r>
      <w:r>
        <w:rPr>
          <w:rFonts w:hint="eastAsia" w:eastAsia="仿宋_GB2312" w:cs="仿宋_GB2312"/>
          <w:sz w:val="28"/>
          <w:szCs w:val="28"/>
          <w:lang w:val="en-US" w:eastAsia="zh-CN"/>
        </w:rPr>
        <w:t>栋（户）</w:t>
      </w:r>
    </w:p>
    <w:tbl>
      <w:tblPr>
        <w:tblStyle w:val="8"/>
        <w:tblW w:w="22248" w:type="dxa"/>
        <w:tblInd w:w="-44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78"/>
        <w:gridCol w:w="1068"/>
        <w:gridCol w:w="943"/>
        <w:gridCol w:w="943"/>
        <w:gridCol w:w="1075"/>
        <w:gridCol w:w="1009"/>
        <w:gridCol w:w="811"/>
        <w:gridCol w:w="910"/>
        <w:gridCol w:w="1075"/>
        <w:gridCol w:w="943"/>
        <w:gridCol w:w="1075"/>
        <w:gridCol w:w="1009"/>
        <w:gridCol w:w="811"/>
        <w:gridCol w:w="1075"/>
        <w:gridCol w:w="943"/>
        <w:gridCol w:w="1075"/>
        <w:gridCol w:w="1009"/>
        <w:gridCol w:w="811"/>
        <w:gridCol w:w="943"/>
        <w:gridCol w:w="944"/>
        <w:gridCol w:w="1076"/>
        <w:gridCol w:w="1010"/>
        <w:gridCol w:w="81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99" w:hRule="atLeast"/>
        </w:trPr>
        <w:tc>
          <w:tcPr>
            <w:tcW w:w="878"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both"/>
              <w:textAlignment w:val="center"/>
              <w:rPr>
                <w:rFonts w:hint="eastAsia" w:ascii="宋体" w:hAnsi="Calibri" w:eastAsia="宋体" w:cs="宋体"/>
                <w:i w:val="0"/>
                <w:color w:val="000000"/>
                <w:kern w:val="2"/>
                <w:sz w:val="21"/>
                <w:szCs w:val="21"/>
                <w:u w:val="none"/>
                <w:lang w:val="en-US" w:eastAsia="zh-CN" w:bidi="ar-SA"/>
              </w:rPr>
            </w:pPr>
            <w:r>
              <w:rPr>
                <w:rFonts w:hint="eastAsia" w:ascii="宋体" w:cs="宋体"/>
                <w:i w:val="0"/>
                <w:color w:val="000000"/>
                <w:kern w:val="2"/>
                <w:sz w:val="21"/>
                <w:szCs w:val="21"/>
                <w:u w:val="none"/>
                <w:lang w:val="en-US" w:eastAsia="zh-CN" w:bidi="ar-SA"/>
              </w:rPr>
              <w:t>乡（镇）、街道办</w:t>
            </w:r>
          </w:p>
        </w:tc>
        <w:tc>
          <w:tcPr>
            <w:tcW w:w="1068"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应排查经营性自建房</w:t>
            </w:r>
            <w:r>
              <w:rPr>
                <w:rFonts w:hint="eastAsia" w:ascii="宋体" w:cs="宋体"/>
                <w:i w:val="0"/>
                <w:color w:val="000000"/>
                <w:kern w:val="0"/>
                <w:sz w:val="21"/>
                <w:szCs w:val="21"/>
                <w:u w:val="none"/>
                <w:lang w:val="en-US" w:eastAsia="zh-CN"/>
              </w:rPr>
              <w:t>合计</w:t>
            </w:r>
          </w:p>
        </w:tc>
        <w:tc>
          <w:tcPr>
            <w:tcW w:w="943"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已排查经营性自建房合计</w:t>
            </w:r>
          </w:p>
        </w:tc>
        <w:tc>
          <w:tcPr>
            <w:tcW w:w="943"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初判或鉴定</w:t>
            </w:r>
            <w:r>
              <w:rPr>
                <w:rFonts w:hint="eastAsia" w:ascii="宋体" w:eastAsia="宋体" w:cs="宋体"/>
                <w:i w:val="0"/>
                <w:color w:val="000000"/>
                <w:kern w:val="0"/>
                <w:sz w:val="21"/>
                <w:szCs w:val="21"/>
                <w:u w:val="none"/>
                <w:lang w:val="en-US" w:eastAsia="zh-CN"/>
              </w:rPr>
              <w:t>存在安全隐患</w:t>
            </w:r>
          </w:p>
        </w:tc>
        <w:tc>
          <w:tcPr>
            <w:tcW w:w="1075"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其中：</w:t>
            </w:r>
            <w:r>
              <w:rPr>
                <w:rFonts w:hint="eastAsia" w:ascii="宋体" w:eastAsia="宋体" w:cs="宋体"/>
                <w:i w:val="0"/>
                <w:color w:val="000000"/>
                <w:kern w:val="0"/>
                <w:sz w:val="21"/>
                <w:szCs w:val="21"/>
                <w:u w:val="none"/>
                <w:lang w:val="en-US" w:eastAsia="zh-CN"/>
              </w:rPr>
              <w:t>本周判定存在安全隐患</w:t>
            </w:r>
          </w:p>
        </w:tc>
        <w:tc>
          <w:tcPr>
            <w:tcW w:w="1009"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已</w:t>
            </w:r>
            <w:r>
              <w:rPr>
                <w:rFonts w:hint="eastAsia" w:ascii="宋体" w:eastAsia="宋体" w:cs="宋体"/>
                <w:i w:val="0"/>
                <w:color w:val="000000"/>
                <w:kern w:val="0"/>
                <w:sz w:val="21"/>
                <w:szCs w:val="21"/>
                <w:u w:val="none"/>
                <w:lang w:val="en-US" w:eastAsia="zh-CN"/>
              </w:rPr>
              <w:t>采取</w:t>
            </w:r>
            <w:r>
              <w:rPr>
                <w:rFonts w:hint="eastAsia" w:ascii="宋体" w:cs="宋体"/>
                <w:i w:val="0"/>
                <w:color w:val="000000"/>
                <w:kern w:val="0"/>
                <w:sz w:val="21"/>
                <w:szCs w:val="21"/>
                <w:u w:val="none"/>
                <w:lang w:val="en-US" w:eastAsia="zh-CN"/>
              </w:rPr>
              <w:t>管理</w:t>
            </w:r>
            <w:r>
              <w:rPr>
                <w:rFonts w:hint="eastAsia" w:ascii="宋体" w:eastAsia="宋体" w:cs="宋体"/>
                <w:i w:val="0"/>
                <w:color w:val="000000"/>
                <w:kern w:val="0"/>
                <w:sz w:val="21"/>
                <w:szCs w:val="21"/>
                <w:u w:val="none"/>
                <w:lang w:val="en-US" w:eastAsia="zh-CN"/>
              </w:rPr>
              <w:t>措施</w:t>
            </w:r>
            <w:r>
              <w:rPr>
                <w:rFonts w:hint="eastAsia" w:ascii="宋体" w:cs="宋体"/>
                <w:i w:val="0"/>
                <w:color w:val="000000"/>
                <w:kern w:val="0"/>
                <w:sz w:val="21"/>
                <w:szCs w:val="21"/>
                <w:u w:val="none"/>
                <w:lang w:val="en-US" w:eastAsia="zh-CN"/>
              </w:rPr>
              <w:t>或工程措施</w:t>
            </w:r>
          </w:p>
        </w:tc>
        <w:tc>
          <w:tcPr>
            <w:tcW w:w="811"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hAnsi="Calibri" w:eastAsia="宋体" w:cs="宋体"/>
                <w:i w:val="0"/>
                <w:color w:val="000000"/>
                <w:kern w:val="2"/>
                <w:sz w:val="21"/>
                <w:szCs w:val="21"/>
                <w:u w:val="none"/>
                <w:lang w:val="en-US" w:eastAsia="zh-CN" w:bidi="ar-SA"/>
              </w:rPr>
            </w:pPr>
            <w:r>
              <w:rPr>
                <w:rFonts w:hint="default" w:ascii="宋体" w:cs="宋体"/>
                <w:i w:val="0"/>
                <w:color w:val="000000"/>
                <w:kern w:val="0"/>
                <w:sz w:val="21"/>
                <w:szCs w:val="21"/>
                <w:u w:val="none"/>
                <w:lang w:val="en-US" w:eastAsia="zh-CN"/>
              </w:rPr>
              <w:t>其中：</w:t>
            </w:r>
            <w:r>
              <w:rPr>
                <w:rFonts w:hint="default" w:ascii="宋体" w:eastAsia="宋体" w:cs="宋体"/>
                <w:i w:val="0"/>
                <w:color w:val="000000"/>
                <w:kern w:val="0"/>
                <w:sz w:val="21"/>
                <w:szCs w:val="21"/>
                <w:u w:val="none"/>
                <w:lang w:val="en-US" w:eastAsia="zh-CN"/>
              </w:rPr>
              <w:t>本周</w:t>
            </w:r>
            <w:r>
              <w:rPr>
                <w:rFonts w:hint="eastAsia" w:ascii="宋体" w:eastAsia="宋体" w:cs="宋体"/>
                <w:i w:val="0"/>
                <w:color w:val="000000"/>
                <w:kern w:val="0"/>
                <w:sz w:val="21"/>
                <w:szCs w:val="21"/>
                <w:u w:val="none"/>
                <w:lang w:val="en-US" w:eastAsia="zh-CN"/>
              </w:rPr>
              <w:t>采取</w:t>
            </w:r>
            <w:r>
              <w:rPr>
                <w:rFonts w:hint="eastAsia" w:ascii="宋体" w:cs="宋体"/>
                <w:i w:val="0"/>
                <w:color w:val="000000"/>
                <w:kern w:val="0"/>
                <w:sz w:val="21"/>
                <w:szCs w:val="21"/>
                <w:u w:val="none"/>
                <w:lang w:val="en-US" w:eastAsia="zh-CN"/>
              </w:rPr>
              <w:t>措施</w:t>
            </w:r>
          </w:p>
        </w:tc>
        <w:tc>
          <w:tcPr>
            <w:tcW w:w="910" w:type="dxa"/>
            <w:tcBorders>
              <w:right w:val="double" w:color="000000" w:sz="4" w:space="0"/>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百日行动完成进度（%）</w:t>
            </w:r>
          </w:p>
        </w:tc>
        <w:tc>
          <w:tcPr>
            <w:tcW w:w="1075" w:type="dxa"/>
            <w:tcBorders>
              <w:left w:val="doub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已排查城市重点经营性自建房</w:t>
            </w:r>
          </w:p>
        </w:tc>
        <w:tc>
          <w:tcPr>
            <w:tcW w:w="943" w:type="dxa"/>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cs="宋体"/>
                <w:i w:val="0"/>
                <w:color w:val="000000"/>
                <w:kern w:val="0"/>
                <w:sz w:val="21"/>
                <w:szCs w:val="21"/>
                <w:u w:val="none"/>
                <w:lang w:val="en-US" w:eastAsia="zh-CN"/>
              </w:rPr>
              <w:t>初判或鉴定</w:t>
            </w:r>
            <w:r>
              <w:rPr>
                <w:rFonts w:hint="eastAsia" w:ascii="宋体" w:eastAsia="宋体" w:cs="宋体"/>
                <w:i w:val="0"/>
                <w:color w:val="000000"/>
                <w:kern w:val="0"/>
                <w:sz w:val="21"/>
                <w:szCs w:val="21"/>
                <w:u w:val="none"/>
                <w:lang w:val="en-US" w:eastAsia="zh-CN"/>
              </w:rPr>
              <w:t>存在安全隐患</w:t>
            </w:r>
          </w:p>
        </w:tc>
        <w:tc>
          <w:tcPr>
            <w:tcW w:w="1075" w:type="dxa"/>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cs="宋体"/>
                <w:i w:val="0"/>
                <w:color w:val="000000"/>
                <w:kern w:val="0"/>
                <w:sz w:val="21"/>
                <w:szCs w:val="21"/>
                <w:u w:val="none"/>
                <w:lang w:val="en-US" w:eastAsia="zh-CN"/>
              </w:rPr>
              <w:t>其中：</w:t>
            </w:r>
            <w:r>
              <w:rPr>
                <w:rFonts w:hint="eastAsia" w:ascii="宋体" w:eastAsia="宋体" w:cs="宋体"/>
                <w:i w:val="0"/>
                <w:color w:val="000000"/>
                <w:kern w:val="0"/>
                <w:sz w:val="21"/>
                <w:szCs w:val="21"/>
                <w:u w:val="none"/>
                <w:lang w:val="en-US" w:eastAsia="zh-CN"/>
              </w:rPr>
              <w:t>本周判定存在安全隐患</w:t>
            </w:r>
          </w:p>
        </w:tc>
        <w:tc>
          <w:tcPr>
            <w:tcW w:w="1009" w:type="dxa"/>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cs="宋体"/>
                <w:i w:val="0"/>
                <w:color w:val="000000"/>
                <w:kern w:val="0"/>
                <w:sz w:val="21"/>
                <w:szCs w:val="21"/>
                <w:u w:val="none"/>
                <w:lang w:val="en-US" w:eastAsia="zh-CN"/>
              </w:rPr>
              <w:t>已</w:t>
            </w:r>
            <w:r>
              <w:rPr>
                <w:rFonts w:hint="eastAsia" w:ascii="宋体" w:eastAsia="宋体" w:cs="宋体"/>
                <w:i w:val="0"/>
                <w:color w:val="000000"/>
                <w:kern w:val="0"/>
                <w:sz w:val="21"/>
                <w:szCs w:val="21"/>
                <w:u w:val="none"/>
                <w:lang w:val="en-US" w:eastAsia="zh-CN"/>
              </w:rPr>
              <w:t>采取</w:t>
            </w:r>
            <w:r>
              <w:rPr>
                <w:rFonts w:hint="eastAsia" w:ascii="宋体" w:cs="宋体"/>
                <w:i w:val="0"/>
                <w:color w:val="000000"/>
                <w:kern w:val="0"/>
                <w:sz w:val="21"/>
                <w:szCs w:val="21"/>
                <w:u w:val="none"/>
                <w:lang w:val="en-US" w:eastAsia="zh-CN"/>
              </w:rPr>
              <w:t>管理</w:t>
            </w:r>
            <w:r>
              <w:rPr>
                <w:rFonts w:hint="eastAsia" w:ascii="宋体" w:eastAsia="宋体" w:cs="宋体"/>
                <w:i w:val="0"/>
                <w:color w:val="000000"/>
                <w:kern w:val="0"/>
                <w:sz w:val="21"/>
                <w:szCs w:val="21"/>
                <w:u w:val="none"/>
                <w:lang w:val="en-US" w:eastAsia="zh-CN"/>
              </w:rPr>
              <w:t>措施</w:t>
            </w:r>
            <w:r>
              <w:rPr>
                <w:rFonts w:hint="eastAsia" w:ascii="宋体" w:cs="宋体"/>
                <w:i w:val="0"/>
                <w:color w:val="000000"/>
                <w:kern w:val="0"/>
                <w:sz w:val="21"/>
                <w:szCs w:val="21"/>
                <w:u w:val="none"/>
                <w:lang w:val="en-US" w:eastAsia="zh-CN"/>
              </w:rPr>
              <w:t>或工程措施</w:t>
            </w:r>
          </w:p>
        </w:tc>
        <w:tc>
          <w:tcPr>
            <w:tcW w:w="811" w:type="dxa"/>
            <w:tcBorders>
              <w:right w:val="doub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default" w:ascii="宋体" w:cs="宋体"/>
                <w:i w:val="0"/>
                <w:color w:val="000000"/>
                <w:kern w:val="0"/>
                <w:sz w:val="21"/>
                <w:szCs w:val="21"/>
                <w:u w:val="none"/>
                <w:lang w:val="en-US" w:eastAsia="zh-CN"/>
              </w:rPr>
              <w:t>其中：</w:t>
            </w:r>
            <w:r>
              <w:rPr>
                <w:rFonts w:hint="default" w:ascii="宋体" w:eastAsia="宋体" w:cs="宋体"/>
                <w:i w:val="0"/>
                <w:color w:val="000000"/>
                <w:kern w:val="0"/>
                <w:sz w:val="21"/>
                <w:szCs w:val="21"/>
                <w:u w:val="none"/>
                <w:lang w:val="en-US" w:eastAsia="zh-CN"/>
              </w:rPr>
              <w:t>本周</w:t>
            </w:r>
            <w:r>
              <w:rPr>
                <w:rFonts w:hint="eastAsia" w:ascii="宋体" w:eastAsia="宋体" w:cs="宋体"/>
                <w:i w:val="0"/>
                <w:color w:val="000000"/>
                <w:kern w:val="0"/>
                <w:sz w:val="21"/>
                <w:szCs w:val="21"/>
                <w:u w:val="none"/>
                <w:lang w:val="en-US" w:eastAsia="zh-CN"/>
              </w:rPr>
              <w:t>采取</w:t>
            </w:r>
            <w:r>
              <w:rPr>
                <w:rFonts w:hint="eastAsia" w:ascii="宋体" w:cs="宋体"/>
                <w:i w:val="0"/>
                <w:color w:val="000000"/>
                <w:kern w:val="0"/>
                <w:sz w:val="21"/>
                <w:szCs w:val="21"/>
                <w:u w:val="none"/>
                <w:lang w:val="en-US" w:eastAsia="zh-CN"/>
              </w:rPr>
              <w:t>措施</w:t>
            </w:r>
          </w:p>
        </w:tc>
        <w:tc>
          <w:tcPr>
            <w:tcW w:w="1075" w:type="dxa"/>
            <w:tcBorders>
              <w:left w:val="doub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已排查农村重点经营性自建房</w:t>
            </w:r>
          </w:p>
        </w:tc>
        <w:tc>
          <w:tcPr>
            <w:tcW w:w="943" w:type="dxa"/>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cs="宋体"/>
                <w:i w:val="0"/>
                <w:color w:val="000000"/>
                <w:kern w:val="0"/>
                <w:sz w:val="21"/>
                <w:szCs w:val="21"/>
                <w:u w:val="none"/>
                <w:lang w:val="en-US" w:eastAsia="zh-CN"/>
              </w:rPr>
              <w:t>初判或鉴定</w:t>
            </w:r>
            <w:r>
              <w:rPr>
                <w:rFonts w:hint="eastAsia" w:ascii="宋体" w:eastAsia="宋体" w:cs="宋体"/>
                <w:i w:val="0"/>
                <w:color w:val="000000"/>
                <w:kern w:val="0"/>
                <w:sz w:val="21"/>
                <w:szCs w:val="21"/>
                <w:u w:val="none"/>
                <w:lang w:val="en-US" w:eastAsia="zh-CN"/>
              </w:rPr>
              <w:t>存在安全隐患</w:t>
            </w:r>
          </w:p>
        </w:tc>
        <w:tc>
          <w:tcPr>
            <w:tcW w:w="1075" w:type="dxa"/>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cs="宋体"/>
                <w:i w:val="0"/>
                <w:color w:val="000000"/>
                <w:kern w:val="0"/>
                <w:sz w:val="21"/>
                <w:szCs w:val="21"/>
                <w:u w:val="none"/>
                <w:lang w:val="en-US" w:eastAsia="zh-CN"/>
              </w:rPr>
              <w:t>其中：</w:t>
            </w:r>
            <w:r>
              <w:rPr>
                <w:rFonts w:hint="eastAsia" w:ascii="宋体" w:eastAsia="宋体" w:cs="宋体"/>
                <w:i w:val="0"/>
                <w:color w:val="000000"/>
                <w:kern w:val="0"/>
                <w:sz w:val="21"/>
                <w:szCs w:val="21"/>
                <w:u w:val="none"/>
                <w:lang w:val="en-US" w:eastAsia="zh-CN"/>
              </w:rPr>
              <w:t>本周判定存在安全隐患</w:t>
            </w:r>
          </w:p>
        </w:tc>
        <w:tc>
          <w:tcPr>
            <w:tcW w:w="1009" w:type="dxa"/>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cs="宋体"/>
                <w:i w:val="0"/>
                <w:color w:val="000000"/>
                <w:kern w:val="0"/>
                <w:sz w:val="21"/>
                <w:szCs w:val="21"/>
                <w:u w:val="none"/>
                <w:lang w:val="en-US" w:eastAsia="zh-CN"/>
              </w:rPr>
              <w:t>已</w:t>
            </w:r>
            <w:r>
              <w:rPr>
                <w:rFonts w:hint="eastAsia" w:ascii="宋体" w:eastAsia="宋体" w:cs="宋体"/>
                <w:i w:val="0"/>
                <w:color w:val="000000"/>
                <w:kern w:val="0"/>
                <w:sz w:val="21"/>
                <w:szCs w:val="21"/>
                <w:u w:val="none"/>
                <w:lang w:val="en-US" w:eastAsia="zh-CN"/>
              </w:rPr>
              <w:t>采取</w:t>
            </w:r>
            <w:r>
              <w:rPr>
                <w:rFonts w:hint="eastAsia" w:ascii="宋体" w:cs="宋体"/>
                <w:i w:val="0"/>
                <w:color w:val="000000"/>
                <w:kern w:val="0"/>
                <w:sz w:val="21"/>
                <w:szCs w:val="21"/>
                <w:u w:val="none"/>
                <w:lang w:val="en-US" w:eastAsia="zh-CN"/>
              </w:rPr>
              <w:t>管理</w:t>
            </w:r>
            <w:r>
              <w:rPr>
                <w:rFonts w:hint="eastAsia" w:ascii="宋体" w:eastAsia="宋体" w:cs="宋体"/>
                <w:i w:val="0"/>
                <w:color w:val="000000"/>
                <w:kern w:val="0"/>
                <w:sz w:val="21"/>
                <w:szCs w:val="21"/>
                <w:u w:val="none"/>
                <w:lang w:val="en-US" w:eastAsia="zh-CN"/>
              </w:rPr>
              <w:t>措施</w:t>
            </w:r>
            <w:r>
              <w:rPr>
                <w:rFonts w:hint="eastAsia" w:ascii="宋体" w:cs="宋体"/>
                <w:i w:val="0"/>
                <w:color w:val="000000"/>
                <w:kern w:val="0"/>
                <w:sz w:val="21"/>
                <w:szCs w:val="21"/>
                <w:u w:val="none"/>
                <w:lang w:val="en-US" w:eastAsia="zh-CN"/>
              </w:rPr>
              <w:t>或工程措施</w:t>
            </w:r>
          </w:p>
        </w:tc>
        <w:tc>
          <w:tcPr>
            <w:tcW w:w="811" w:type="dxa"/>
            <w:tcBorders>
              <w:right w:val="doub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default" w:ascii="宋体" w:cs="宋体"/>
                <w:i w:val="0"/>
                <w:color w:val="000000"/>
                <w:kern w:val="0"/>
                <w:sz w:val="21"/>
                <w:szCs w:val="21"/>
                <w:u w:val="none"/>
                <w:lang w:val="en-US" w:eastAsia="zh-CN"/>
              </w:rPr>
              <w:t>其中：</w:t>
            </w:r>
            <w:r>
              <w:rPr>
                <w:rFonts w:hint="default" w:ascii="宋体" w:eastAsia="宋体" w:cs="宋体"/>
                <w:i w:val="0"/>
                <w:color w:val="000000"/>
                <w:kern w:val="0"/>
                <w:sz w:val="21"/>
                <w:szCs w:val="21"/>
                <w:u w:val="none"/>
                <w:lang w:val="en-US" w:eastAsia="zh-CN"/>
              </w:rPr>
              <w:t>本周</w:t>
            </w:r>
            <w:r>
              <w:rPr>
                <w:rFonts w:hint="eastAsia" w:ascii="宋体" w:eastAsia="宋体" w:cs="宋体"/>
                <w:i w:val="0"/>
                <w:color w:val="000000"/>
                <w:kern w:val="0"/>
                <w:sz w:val="21"/>
                <w:szCs w:val="21"/>
                <w:u w:val="none"/>
                <w:lang w:val="en-US" w:eastAsia="zh-CN"/>
              </w:rPr>
              <w:t>采取</w:t>
            </w:r>
            <w:r>
              <w:rPr>
                <w:rFonts w:hint="eastAsia" w:ascii="宋体" w:cs="宋体"/>
                <w:i w:val="0"/>
                <w:color w:val="000000"/>
                <w:kern w:val="0"/>
                <w:sz w:val="21"/>
                <w:szCs w:val="21"/>
                <w:u w:val="none"/>
                <w:lang w:val="en-US" w:eastAsia="zh-CN"/>
              </w:rPr>
              <w:t>措施</w:t>
            </w:r>
          </w:p>
        </w:tc>
        <w:tc>
          <w:tcPr>
            <w:tcW w:w="943" w:type="dxa"/>
            <w:tcBorders>
              <w:left w:val="double" w:color="000000" w:sz="4" w:space="0"/>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已排查</w:t>
            </w:r>
            <w:r>
              <w:rPr>
                <w:rFonts w:hint="eastAsia" w:ascii="宋体" w:eastAsia="宋体" w:cs="宋体"/>
                <w:i w:val="0"/>
                <w:color w:val="000000"/>
                <w:kern w:val="0"/>
                <w:sz w:val="21"/>
                <w:szCs w:val="21"/>
                <w:u w:val="none"/>
                <w:lang w:val="en-US" w:eastAsia="zh-CN"/>
              </w:rPr>
              <w:t>其他经营性自建房</w:t>
            </w:r>
          </w:p>
        </w:tc>
        <w:tc>
          <w:tcPr>
            <w:tcW w:w="944"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cs="宋体"/>
                <w:i w:val="0"/>
                <w:color w:val="000000"/>
                <w:kern w:val="0"/>
                <w:sz w:val="21"/>
                <w:szCs w:val="21"/>
                <w:u w:val="none"/>
                <w:lang w:val="en-US" w:eastAsia="zh-CN"/>
              </w:rPr>
              <w:t>初判或鉴定</w:t>
            </w:r>
            <w:r>
              <w:rPr>
                <w:rFonts w:hint="eastAsia" w:ascii="宋体" w:eastAsia="宋体" w:cs="宋体"/>
                <w:i w:val="0"/>
                <w:color w:val="000000"/>
                <w:kern w:val="0"/>
                <w:sz w:val="21"/>
                <w:szCs w:val="21"/>
                <w:u w:val="none"/>
                <w:lang w:val="en-US" w:eastAsia="zh-CN"/>
              </w:rPr>
              <w:t>存在安全隐患</w:t>
            </w:r>
          </w:p>
        </w:tc>
        <w:tc>
          <w:tcPr>
            <w:tcW w:w="1076"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cs="宋体"/>
                <w:i w:val="0"/>
                <w:color w:val="000000"/>
                <w:kern w:val="0"/>
                <w:sz w:val="21"/>
                <w:szCs w:val="21"/>
                <w:u w:val="none"/>
                <w:lang w:val="en-US" w:eastAsia="zh-CN"/>
              </w:rPr>
              <w:t>其中：</w:t>
            </w:r>
            <w:r>
              <w:rPr>
                <w:rFonts w:hint="eastAsia" w:ascii="宋体" w:eastAsia="宋体" w:cs="宋体"/>
                <w:i w:val="0"/>
                <w:color w:val="000000"/>
                <w:kern w:val="0"/>
                <w:sz w:val="21"/>
                <w:szCs w:val="21"/>
                <w:u w:val="none"/>
                <w:lang w:val="en-US" w:eastAsia="zh-CN"/>
              </w:rPr>
              <w:t>本周判定存在安全隐患</w:t>
            </w:r>
          </w:p>
        </w:tc>
        <w:tc>
          <w:tcPr>
            <w:tcW w:w="1010"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cs="宋体"/>
                <w:i w:val="0"/>
                <w:color w:val="000000"/>
                <w:kern w:val="0"/>
                <w:sz w:val="21"/>
                <w:szCs w:val="21"/>
                <w:u w:val="none"/>
                <w:lang w:val="en-US" w:eastAsia="zh-CN"/>
              </w:rPr>
              <w:t>已</w:t>
            </w:r>
            <w:r>
              <w:rPr>
                <w:rFonts w:hint="eastAsia" w:ascii="宋体" w:eastAsia="宋体" w:cs="宋体"/>
                <w:i w:val="0"/>
                <w:color w:val="000000"/>
                <w:kern w:val="0"/>
                <w:sz w:val="21"/>
                <w:szCs w:val="21"/>
                <w:u w:val="none"/>
                <w:lang w:val="en-US" w:eastAsia="zh-CN"/>
              </w:rPr>
              <w:t>采取</w:t>
            </w:r>
            <w:r>
              <w:rPr>
                <w:rFonts w:hint="eastAsia" w:ascii="宋体" w:cs="宋体"/>
                <w:i w:val="0"/>
                <w:color w:val="000000"/>
                <w:kern w:val="0"/>
                <w:sz w:val="21"/>
                <w:szCs w:val="21"/>
                <w:u w:val="none"/>
                <w:lang w:val="en-US" w:eastAsia="zh-CN"/>
              </w:rPr>
              <w:t>管理</w:t>
            </w:r>
            <w:r>
              <w:rPr>
                <w:rFonts w:hint="eastAsia" w:ascii="宋体" w:eastAsia="宋体" w:cs="宋体"/>
                <w:i w:val="0"/>
                <w:color w:val="000000"/>
                <w:kern w:val="0"/>
                <w:sz w:val="21"/>
                <w:szCs w:val="21"/>
                <w:u w:val="none"/>
                <w:lang w:val="en-US" w:eastAsia="zh-CN"/>
              </w:rPr>
              <w:t>措施</w:t>
            </w:r>
            <w:r>
              <w:rPr>
                <w:rFonts w:hint="eastAsia" w:ascii="宋体" w:cs="宋体"/>
                <w:i w:val="0"/>
                <w:color w:val="000000"/>
                <w:kern w:val="0"/>
                <w:sz w:val="21"/>
                <w:szCs w:val="21"/>
                <w:u w:val="none"/>
                <w:lang w:val="en-US" w:eastAsia="zh-CN"/>
              </w:rPr>
              <w:t>或工程措施</w:t>
            </w:r>
          </w:p>
        </w:tc>
        <w:tc>
          <w:tcPr>
            <w:tcW w:w="812"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default" w:ascii="宋体" w:cs="宋体"/>
                <w:i w:val="0"/>
                <w:color w:val="000000"/>
                <w:kern w:val="0"/>
                <w:sz w:val="21"/>
                <w:szCs w:val="21"/>
                <w:u w:val="none"/>
                <w:lang w:val="en-US" w:eastAsia="zh-CN"/>
              </w:rPr>
              <w:t>其中：</w:t>
            </w:r>
            <w:r>
              <w:rPr>
                <w:rFonts w:hint="default" w:ascii="宋体" w:eastAsia="宋体" w:cs="宋体"/>
                <w:i w:val="0"/>
                <w:color w:val="000000"/>
                <w:kern w:val="0"/>
                <w:sz w:val="21"/>
                <w:szCs w:val="21"/>
                <w:u w:val="none"/>
                <w:lang w:val="en-US" w:eastAsia="zh-CN"/>
              </w:rPr>
              <w:t>本周</w:t>
            </w:r>
            <w:r>
              <w:rPr>
                <w:rFonts w:hint="eastAsia" w:ascii="宋体" w:eastAsia="宋体" w:cs="宋体"/>
                <w:i w:val="0"/>
                <w:color w:val="000000"/>
                <w:kern w:val="0"/>
                <w:sz w:val="21"/>
                <w:szCs w:val="21"/>
                <w:u w:val="none"/>
                <w:lang w:val="en-US" w:eastAsia="zh-CN"/>
              </w:rPr>
              <w:t>采取</w:t>
            </w:r>
            <w:r>
              <w:rPr>
                <w:rFonts w:hint="eastAsia" w:ascii="宋体" w:cs="宋体"/>
                <w:i w:val="0"/>
                <w:color w:val="000000"/>
                <w:kern w:val="0"/>
                <w:sz w:val="21"/>
                <w:szCs w:val="21"/>
                <w:u w:val="none"/>
                <w:lang w:val="en-US" w:eastAsia="zh-CN"/>
              </w:rPr>
              <w:t>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rPr>
              <w:t>示例</w:t>
            </w:r>
          </w:p>
        </w:tc>
        <w:tc>
          <w:tcPr>
            <w:tcW w:w="1068"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rPr>
              <w:t>1</w:t>
            </w:r>
          </w:p>
        </w:tc>
        <w:tc>
          <w:tcPr>
            <w:tcW w:w="943"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rPr>
              <w:t>2</w:t>
            </w:r>
          </w:p>
        </w:tc>
        <w:tc>
          <w:tcPr>
            <w:tcW w:w="943"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rPr>
              <w:t>3</w:t>
            </w:r>
          </w:p>
        </w:tc>
        <w:tc>
          <w:tcPr>
            <w:tcW w:w="1075"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rPr>
              <w:t>4</w:t>
            </w:r>
          </w:p>
        </w:tc>
        <w:tc>
          <w:tcPr>
            <w:tcW w:w="1009"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rPr>
              <w:t>5</w:t>
            </w:r>
          </w:p>
        </w:tc>
        <w:tc>
          <w:tcPr>
            <w:tcW w:w="811"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rPr>
              <w:t>6</w:t>
            </w:r>
          </w:p>
        </w:tc>
        <w:tc>
          <w:tcPr>
            <w:tcW w:w="910" w:type="dxa"/>
            <w:tcBorders>
              <w:right w:val="double" w:color="000000" w:sz="4" w:space="0"/>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7</w:t>
            </w:r>
          </w:p>
        </w:tc>
        <w:tc>
          <w:tcPr>
            <w:tcW w:w="1075" w:type="dxa"/>
            <w:tcBorders>
              <w:left w:val="double" w:color="000000" w:sz="4" w:space="0"/>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cs="宋体"/>
                <w:i w:val="0"/>
                <w:color w:val="000000"/>
                <w:kern w:val="0"/>
                <w:sz w:val="21"/>
                <w:szCs w:val="21"/>
                <w:u w:val="none"/>
                <w:lang w:val="en-US" w:eastAsia="zh-CN"/>
              </w:rPr>
              <w:t>8</w:t>
            </w:r>
          </w:p>
        </w:tc>
        <w:tc>
          <w:tcPr>
            <w:tcW w:w="943" w:type="dxa"/>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cs="宋体"/>
                <w:i w:val="0"/>
                <w:color w:val="000000"/>
                <w:kern w:val="0"/>
                <w:sz w:val="21"/>
                <w:szCs w:val="21"/>
                <w:u w:val="none"/>
                <w:lang w:val="en-US" w:eastAsia="zh-CN"/>
              </w:rPr>
              <w:t>9</w:t>
            </w:r>
          </w:p>
        </w:tc>
        <w:tc>
          <w:tcPr>
            <w:tcW w:w="1075" w:type="dxa"/>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10</w:t>
            </w:r>
          </w:p>
        </w:tc>
        <w:tc>
          <w:tcPr>
            <w:tcW w:w="1009" w:type="dxa"/>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11</w:t>
            </w:r>
          </w:p>
        </w:tc>
        <w:tc>
          <w:tcPr>
            <w:tcW w:w="811" w:type="dxa"/>
            <w:tcBorders>
              <w:right w:val="double" w:color="000000" w:sz="4" w:space="0"/>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12</w:t>
            </w:r>
          </w:p>
        </w:tc>
        <w:tc>
          <w:tcPr>
            <w:tcW w:w="1075" w:type="dxa"/>
            <w:tcBorders>
              <w:left w:val="double" w:color="000000" w:sz="4" w:space="0"/>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13</w:t>
            </w:r>
          </w:p>
        </w:tc>
        <w:tc>
          <w:tcPr>
            <w:tcW w:w="943" w:type="dxa"/>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14</w:t>
            </w:r>
          </w:p>
        </w:tc>
        <w:tc>
          <w:tcPr>
            <w:tcW w:w="1075" w:type="dxa"/>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15</w:t>
            </w:r>
          </w:p>
        </w:tc>
        <w:tc>
          <w:tcPr>
            <w:tcW w:w="1009" w:type="dxa"/>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16</w:t>
            </w:r>
          </w:p>
        </w:tc>
        <w:tc>
          <w:tcPr>
            <w:tcW w:w="811" w:type="dxa"/>
            <w:tcBorders>
              <w:right w:val="double" w:color="000000" w:sz="4" w:space="0"/>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17</w:t>
            </w:r>
          </w:p>
        </w:tc>
        <w:tc>
          <w:tcPr>
            <w:tcW w:w="943" w:type="dxa"/>
            <w:tcBorders>
              <w:left w:val="double" w:color="000000" w:sz="4" w:space="0"/>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18</w:t>
            </w:r>
          </w:p>
        </w:tc>
        <w:tc>
          <w:tcPr>
            <w:tcW w:w="944"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19</w:t>
            </w:r>
          </w:p>
        </w:tc>
        <w:tc>
          <w:tcPr>
            <w:tcW w:w="1076"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20</w:t>
            </w:r>
          </w:p>
        </w:tc>
        <w:tc>
          <w:tcPr>
            <w:tcW w:w="1010"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21</w:t>
            </w:r>
          </w:p>
        </w:tc>
        <w:tc>
          <w:tcPr>
            <w:tcW w:w="812"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10"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rPr>
                <w:rFonts w:hint="eastAsia" w:ascii="宋体" w:hAnsi="Calibri" w:eastAsia="宋体" w:cs="宋体"/>
                <w:i w:val="0"/>
                <w:color w:val="000000"/>
                <w:kern w:val="2"/>
                <w:sz w:val="18"/>
                <w:szCs w:val="18"/>
                <w:u w:val="none"/>
                <w:lang w:val="en-US" w:eastAsia="zh-CN" w:bidi="ar-SA"/>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4"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6"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2"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10"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rPr>
                <w:rFonts w:hint="eastAsia" w:ascii="宋体" w:hAnsi="Calibri" w:eastAsia="宋体" w:cs="宋体"/>
                <w:i w:val="0"/>
                <w:color w:val="000000"/>
                <w:kern w:val="2"/>
                <w:sz w:val="18"/>
                <w:szCs w:val="18"/>
                <w:u w:val="none"/>
                <w:lang w:val="en-US" w:eastAsia="zh-CN" w:bidi="ar-SA"/>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18"/>
                <w:szCs w:val="18"/>
                <w:u w:val="none"/>
              </w:rPr>
            </w:pPr>
            <w:r>
              <w:rPr>
                <w:rFonts w:hint="eastAsia" w:ascii="宋体" w:eastAsia="宋体" w:cs="宋体"/>
                <w:i w:val="0"/>
                <w:color w:val="000000"/>
                <w:kern w:val="0"/>
                <w:sz w:val="18"/>
                <w:szCs w:val="18"/>
                <w:u w:val="none"/>
                <w:lang w:val="en-US" w:eastAsia="zh-CN"/>
              </w:rPr>
              <w:t xml:space="preserve"> </w:t>
            </w: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4"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6"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2"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10"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rPr>
                <w:rFonts w:hint="eastAsia" w:ascii="宋体" w:hAnsi="Calibri" w:eastAsia="宋体" w:cs="宋体"/>
                <w:i w:val="0"/>
                <w:color w:val="000000"/>
                <w:kern w:val="2"/>
                <w:sz w:val="18"/>
                <w:szCs w:val="18"/>
                <w:u w:val="none"/>
                <w:lang w:val="en-US" w:eastAsia="zh-CN" w:bidi="ar-SA"/>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4"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6"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2"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10"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rPr>
                <w:rFonts w:hint="eastAsia" w:ascii="宋体" w:hAnsi="Calibri" w:eastAsia="宋体" w:cs="宋体"/>
                <w:i w:val="0"/>
                <w:color w:val="000000"/>
                <w:kern w:val="2"/>
                <w:sz w:val="18"/>
                <w:szCs w:val="18"/>
                <w:u w:val="none"/>
                <w:lang w:val="en-US" w:eastAsia="zh-CN" w:bidi="ar-SA"/>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4"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6"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2"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10"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rPr>
                <w:rFonts w:hint="eastAsia" w:ascii="宋体" w:hAnsi="Calibri" w:eastAsia="宋体" w:cs="宋体"/>
                <w:i w:val="0"/>
                <w:color w:val="000000"/>
                <w:kern w:val="2"/>
                <w:sz w:val="18"/>
                <w:szCs w:val="18"/>
                <w:u w:val="none"/>
                <w:lang w:val="en-US" w:eastAsia="zh-CN" w:bidi="ar-SA"/>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4"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6"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2"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10"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rPr>
                <w:rFonts w:hint="eastAsia" w:ascii="宋体" w:hAnsi="Calibri" w:eastAsia="宋体" w:cs="宋体"/>
                <w:i w:val="0"/>
                <w:color w:val="000000"/>
                <w:kern w:val="2"/>
                <w:sz w:val="18"/>
                <w:szCs w:val="18"/>
                <w:u w:val="none"/>
                <w:lang w:val="en-US" w:eastAsia="zh-CN" w:bidi="ar-SA"/>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4"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6"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2"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10"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rPr>
                <w:rFonts w:hint="eastAsia" w:ascii="宋体" w:hAnsi="Calibri" w:eastAsia="宋体" w:cs="宋体"/>
                <w:i w:val="0"/>
                <w:color w:val="000000"/>
                <w:kern w:val="2"/>
                <w:sz w:val="18"/>
                <w:szCs w:val="18"/>
                <w:u w:val="none"/>
                <w:lang w:val="en-US" w:eastAsia="zh-CN" w:bidi="ar-SA"/>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4"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6"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2"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10"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rPr>
                <w:rFonts w:hint="eastAsia" w:ascii="宋体" w:hAnsi="Calibri" w:eastAsia="宋体" w:cs="宋体"/>
                <w:i w:val="0"/>
                <w:color w:val="000000"/>
                <w:kern w:val="2"/>
                <w:sz w:val="18"/>
                <w:szCs w:val="18"/>
                <w:u w:val="none"/>
                <w:lang w:val="en-US" w:eastAsia="zh-CN" w:bidi="ar-SA"/>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4"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6"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2"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10"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rPr>
                <w:rFonts w:hint="eastAsia" w:ascii="宋体" w:hAnsi="Calibri" w:eastAsia="宋体" w:cs="宋体"/>
                <w:i w:val="0"/>
                <w:color w:val="000000"/>
                <w:kern w:val="2"/>
                <w:sz w:val="18"/>
                <w:szCs w:val="18"/>
                <w:u w:val="none"/>
                <w:lang w:val="en-US" w:eastAsia="zh-CN" w:bidi="ar-SA"/>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3"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944"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76"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812"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b/>
                <w:i w:val="0"/>
                <w:color w:val="000000"/>
                <w:sz w:val="21"/>
                <w:szCs w:val="21"/>
                <w:u w:val="none"/>
                <w:lang w:val="en-US"/>
              </w:rPr>
            </w:pPr>
            <w:r>
              <w:rPr>
                <w:rFonts w:hint="eastAsia" w:ascii="宋体" w:cs="宋体"/>
                <w:b/>
                <w:i w:val="0"/>
                <w:color w:val="000000"/>
                <w:kern w:val="0"/>
                <w:sz w:val="21"/>
                <w:szCs w:val="21"/>
                <w:u w:val="none"/>
                <w:lang w:val="en-US" w:eastAsia="zh-CN"/>
              </w:rPr>
              <w:t>总计</w:t>
            </w:r>
          </w:p>
        </w:tc>
        <w:tc>
          <w:tcPr>
            <w:tcW w:w="106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94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0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009"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811"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910"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rPr>
                <w:rFonts w:hint="eastAsia" w:ascii="宋体" w:hAnsi="Calibri" w:eastAsia="宋体" w:cs="宋体"/>
                <w:i w:val="0"/>
                <w:color w:val="000000"/>
                <w:kern w:val="2"/>
                <w:sz w:val="21"/>
                <w:szCs w:val="21"/>
                <w:u w:val="none"/>
                <w:lang w:val="en-US" w:eastAsia="zh-CN" w:bidi="ar-SA"/>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075"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943"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0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009"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811"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943"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944"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076"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01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812"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r>
    </w:tbl>
    <w:p>
      <w:pPr>
        <w:pStyle w:val="2"/>
        <w:keepNext w:val="0"/>
        <w:keepLines w:val="0"/>
        <w:pageBreakBefore w:val="0"/>
        <w:widowControl w:val="0"/>
        <w:kinsoku/>
        <w:wordWrap/>
        <w:overflowPunct/>
        <w:topLinePunct w:val="0"/>
        <w:autoSpaceDE/>
        <w:autoSpaceDN/>
        <w:bidi w:val="0"/>
        <w:adjustRightInd/>
        <w:snapToGrid/>
        <w:spacing w:after="0" w:line="400" w:lineRule="exact"/>
        <w:ind w:left="0" w:firstLine="0"/>
        <w:jc w:val="both"/>
        <w:textAlignment w:val="auto"/>
        <w:rPr>
          <w:rFonts w:hint="eastAsia" w:ascii="宋体" w:eastAsia="宋体" w:cs="宋体"/>
          <w:i w:val="0"/>
          <w:color w:val="000000"/>
          <w:kern w:val="0"/>
          <w:sz w:val="24"/>
          <w:szCs w:val="24"/>
          <w:u w:val="none"/>
          <w:lang w:val="en-US" w:eastAsia="zh-CN"/>
        </w:rPr>
      </w:pPr>
      <w:r>
        <w:rPr>
          <w:rFonts w:hint="eastAsia" w:ascii="宋体" w:eastAsia="宋体" w:cs="宋体"/>
          <w:i w:val="0"/>
          <w:color w:val="000000"/>
          <w:kern w:val="0"/>
          <w:sz w:val="24"/>
          <w:szCs w:val="24"/>
          <w:u w:val="none"/>
          <w:lang w:val="en-US" w:eastAsia="zh-CN"/>
        </w:rPr>
        <w:t>填表说明：1.第1列应排查经营性自建房合计，填报辖区内实际存在的所有经营性自建房数量。</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firstLine="1200" w:firstLineChars="500"/>
        <w:jc w:val="both"/>
        <w:textAlignment w:val="auto"/>
        <w:rPr>
          <w:rFonts w:hint="eastAsia" w:ascii="宋体" w:eastAsia="宋体" w:cs="宋体"/>
          <w:i w:val="0"/>
          <w:color w:val="000000"/>
          <w:kern w:val="0"/>
          <w:sz w:val="24"/>
          <w:szCs w:val="24"/>
          <w:u w:val="none"/>
          <w:lang w:val="en-US" w:eastAsia="zh-CN"/>
        </w:rPr>
      </w:pPr>
      <w:r>
        <w:rPr>
          <w:rFonts w:hint="eastAsia" w:ascii="宋体" w:eastAsia="宋体" w:cs="宋体"/>
          <w:i w:val="0"/>
          <w:color w:val="000000"/>
          <w:kern w:val="0"/>
          <w:sz w:val="24"/>
          <w:szCs w:val="24"/>
          <w:u w:val="none"/>
          <w:lang w:val="en-US" w:eastAsia="zh-CN"/>
        </w:rPr>
        <w:t>2.相关列数据逻辑关系为：2=8+13+18；3=9+14+19；4=10+15+20；5=11+16+21；6=12+17+22。</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firstLine="1200" w:firstLineChars="500"/>
        <w:jc w:val="both"/>
        <w:textAlignment w:val="auto"/>
        <w:rPr>
          <w:rFonts w:hint="eastAsia" w:ascii="宋体" w:eastAsia="宋体" w:cs="宋体"/>
          <w:i w:val="0"/>
          <w:color w:val="000000"/>
          <w:kern w:val="0"/>
          <w:sz w:val="24"/>
          <w:szCs w:val="24"/>
          <w:u w:val="none"/>
          <w:lang w:val="en-US" w:eastAsia="zh-CN"/>
        </w:rPr>
      </w:pPr>
      <w:r>
        <w:rPr>
          <w:rFonts w:hint="eastAsia" w:ascii="宋体" w:eastAsia="宋体" w:cs="宋体"/>
          <w:i w:val="0"/>
          <w:color w:val="000000"/>
          <w:kern w:val="0"/>
          <w:sz w:val="24"/>
          <w:szCs w:val="24"/>
          <w:u w:val="none"/>
          <w:lang w:val="en-US" w:eastAsia="zh-CN"/>
        </w:rPr>
        <w:t>3.第7列百日行动完成进度=（排查判定为安全的经营性自建房+已采取措施的经营性自建房）/应排查经营性自建房。</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firstLine="1200" w:firstLineChars="500"/>
        <w:jc w:val="both"/>
        <w:textAlignment w:val="auto"/>
        <w:rPr>
          <w:rFonts w:hint="eastAsia" w:ascii="宋体" w:eastAsia="宋体" w:cs="宋体"/>
          <w:i w:val="0"/>
          <w:color w:val="000000"/>
          <w:kern w:val="0"/>
          <w:sz w:val="24"/>
          <w:szCs w:val="24"/>
          <w:u w:val="none"/>
          <w:lang w:val="en-US" w:eastAsia="zh-CN"/>
        </w:rPr>
      </w:pPr>
      <w:r>
        <w:rPr>
          <w:rFonts w:hint="eastAsia" w:ascii="宋体" w:eastAsia="宋体" w:cs="宋体"/>
          <w:i w:val="0"/>
          <w:color w:val="000000"/>
          <w:kern w:val="0"/>
          <w:sz w:val="24"/>
          <w:szCs w:val="24"/>
          <w:u w:val="none"/>
          <w:lang w:val="en-US" w:eastAsia="zh-CN"/>
        </w:rPr>
        <w:t>4.城市重点经营性自建房指：城中村、城乡结合部、安置区、学校医院周边、工业园区等区域的经营性自建房。</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firstLine="1440" w:firstLineChars="600"/>
        <w:jc w:val="both"/>
        <w:textAlignment w:val="auto"/>
        <w:rPr>
          <w:rFonts w:hint="eastAsia" w:ascii="宋体" w:eastAsia="宋体" w:cs="宋体"/>
          <w:i w:val="0"/>
          <w:color w:val="000000"/>
          <w:kern w:val="0"/>
          <w:sz w:val="24"/>
          <w:szCs w:val="24"/>
          <w:u w:val="none"/>
          <w:lang w:val="en-US" w:eastAsia="zh-CN"/>
        </w:rPr>
      </w:pPr>
      <w:r>
        <w:rPr>
          <w:rFonts w:hint="eastAsia" w:ascii="宋体" w:eastAsia="宋体" w:cs="宋体"/>
          <w:i w:val="0"/>
          <w:color w:val="000000"/>
          <w:kern w:val="0"/>
          <w:sz w:val="24"/>
          <w:szCs w:val="24"/>
          <w:u w:val="none"/>
          <w:lang w:val="en-US" w:eastAsia="zh-CN"/>
        </w:rPr>
        <w:t>农村重点经营性自建房指：乡镇政府驻地村、乡镇范围内的农村社区、大型厂矿企业周边等区域的经营性自建房。</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firstLine="1200" w:firstLineChars="500"/>
        <w:jc w:val="both"/>
        <w:textAlignment w:val="auto"/>
        <w:rPr>
          <w:rFonts w:hint="eastAsia" w:ascii="宋体" w:eastAsia="宋体" w:cs="宋体"/>
          <w:i w:val="0"/>
          <w:color w:val="000000"/>
          <w:kern w:val="0"/>
          <w:sz w:val="24"/>
          <w:szCs w:val="24"/>
          <w:u w:val="none"/>
          <w:lang w:val="en-US" w:eastAsia="zh-CN"/>
        </w:rPr>
        <w:sectPr>
          <w:footerReference r:id="rId4" w:type="default"/>
          <w:pgSz w:w="23811" w:h="16838" w:orient="landscape"/>
          <w:pgMar w:top="850" w:right="1440" w:bottom="850"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ind w:left="0" w:firstLine="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after="0" w:line="660" w:lineRule="exact"/>
        <w:ind w:firstLine="40"/>
        <w:jc w:val="center"/>
        <w:textAlignment w:val="auto"/>
        <w:rPr>
          <w:rFonts w:hint="eastAsia" w:asci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u w:val="single"/>
          <w:lang w:val="en-US" w:eastAsia="zh-CN"/>
        </w:rPr>
        <w:t xml:space="preserve">      村</w:t>
      </w:r>
      <w:r>
        <w:rPr>
          <w:rFonts w:hint="eastAsia" w:ascii="方正小标宋简体" w:eastAsia="方正小标宋简体" w:cs="方正小标宋简体"/>
          <w:sz w:val="44"/>
          <w:szCs w:val="44"/>
          <w:lang w:val="en-US" w:eastAsia="zh-CN"/>
        </w:rPr>
        <w:t>经营性自建房违法违规建设情况排查整治统计表</w:t>
      </w:r>
    </w:p>
    <w:p>
      <w:pPr>
        <w:pStyle w:val="2"/>
        <w:keepNext w:val="0"/>
        <w:keepLines w:val="0"/>
        <w:pageBreakBefore w:val="0"/>
        <w:widowControl w:val="0"/>
        <w:kinsoku/>
        <w:wordWrap/>
        <w:overflowPunct/>
        <w:topLinePunct w:val="0"/>
        <w:autoSpaceDE/>
        <w:autoSpaceDN/>
        <w:bidi w:val="0"/>
        <w:adjustRightInd/>
        <w:snapToGrid/>
        <w:spacing w:after="0" w:line="400" w:lineRule="exact"/>
        <w:jc w:val="right"/>
        <w:textAlignment w:val="auto"/>
        <w:rPr>
          <w:rFonts w:hint="eastAsia" w:eastAsia="仿宋_GB2312" w:cs="仿宋_GB2312"/>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00" w:lineRule="exact"/>
        <w:jc w:val="right"/>
        <w:textAlignment w:val="auto"/>
        <w:rPr>
          <w:rFonts w:hint="eastAsia" w:ascii="仿宋_GB2312" w:hAnsi="仿宋_GB2312" w:eastAsia="仿宋_GB2312" w:cs="仿宋_GB2312"/>
          <w:sz w:val="28"/>
          <w:szCs w:val="28"/>
          <w:lang w:val="en-US" w:eastAsia="zh-CN"/>
        </w:rPr>
      </w:pPr>
      <w:r>
        <w:rPr>
          <w:rFonts w:hint="eastAsia" w:eastAsia="仿宋_GB2312" w:cs="仿宋_GB2312"/>
          <w:sz w:val="28"/>
          <w:szCs w:val="28"/>
          <w:lang w:val="en-US" w:eastAsia="zh-CN"/>
        </w:rPr>
        <w:t>填报人：         联系电话：         填报</w:t>
      </w:r>
      <w:r>
        <w:rPr>
          <w:rFonts w:hint="eastAsia" w:ascii="仿宋_GB2312" w:hAnsi="仿宋_GB2312" w:eastAsia="仿宋_GB2312" w:cs="仿宋_GB2312"/>
          <w:sz w:val="28"/>
          <w:szCs w:val="28"/>
          <w:lang w:val="en-US" w:eastAsia="zh-CN"/>
        </w:rPr>
        <w:t>日期：</w:t>
      </w:r>
      <w:r>
        <w:rPr>
          <w:rFonts w:hint="eastAsia"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单位：</w:t>
      </w:r>
      <w:r>
        <w:rPr>
          <w:rFonts w:hint="eastAsia" w:eastAsia="仿宋_GB2312" w:cs="仿宋_GB2312"/>
          <w:sz w:val="28"/>
          <w:szCs w:val="28"/>
          <w:lang w:val="en-US" w:eastAsia="zh-CN"/>
        </w:rPr>
        <w:t>栋（户）</w:t>
      </w:r>
    </w:p>
    <w:tbl>
      <w:tblPr>
        <w:tblStyle w:val="8"/>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170"/>
        <w:gridCol w:w="1117"/>
        <w:gridCol w:w="1060"/>
        <w:gridCol w:w="1348"/>
        <w:gridCol w:w="1175"/>
        <w:gridCol w:w="1175"/>
        <w:gridCol w:w="1043"/>
        <w:gridCol w:w="1307"/>
        <w:gridCol w:w="1175"/>
        <w:gridCol w:w="1175"/>
        <w:gridCol w:w="1047"/>
        <w:gridCol w:w="1303"/>
        <w:gridCol w:w="1175"/>
        <w:gridCol w:w="1175"/>
        <w:gridCol w:w="1016"/>
        <w:gridCol w:w="1334"/>
        <w:gridCol w:w="1176"/>
        <w:gridCol w:w="117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170" w:type="dxa"/>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cs="宋体"/>
                <w:i w:val="0"/>
                <w:color w:val="000000"/>
                <w:kern w:val="2"/>
                <w:sz w:val="21"/>
                <w:szCs w:val="21"/>
                <w:u w:val="none"/>
                <w:lang w:val="en-US" w:eastAsia="zh-CN" w:bidi="ar-SA"/>
              </w:rPr>
              <w:t>乡（镇）、街道办</w:t>
            </w:r>
          </w:p>
        </w:tc>
        <w:tc>
          <w:tcPr>
            <w:tcW w:w="1117" w:type="dxa"/>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应排查经营性自建房</w:t>
            </w:r>
            <w:r>
              <w:rPr>
                <w:rFonts w:hint="eastAsia" w:ascii="宋体" w:cs="宋体"/>
                <w:i w:val="0"/>
                <w:color w:val="000000"/>
                <w:kern w:val="0"/>
                <w:sz w:val="21"/>
                <w:szCs w:val="21"/>
                <w:u w:val="none"/>
                <w:lang w:val="en-US" w:eastAsia="zh-CN"/>
              </w:rPr>
              <w:t>合计</w:t>
            </w:r>
          </w:p>
        </w:tc>
        <w:tc>
          <w:tcPr>
            <w:tcW w:w="1060" w:type="dxa"/>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已排查经营性自建房合计</w:t>
            </w:r>
          </w:p>
        </w:tc>
        <w:tc>
          <w:tcPr>
            <w:tcW w:w="3698" w:type="dxa"/>
            <w:gridSpan w:val="3"/>
            <w:tcBorders>
              <w:bottom w:val="single" w:color="000000" w:sz="4" w:space="0"/>
              <w:right w:val="doub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jc w:val="both"/>
              <w:textAlignment w:val="center"/>
              <w:rPr>
                <w:rFonts w:hint="default"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其中：</w:t>
            </w:r>
          </w:p>
        </w:tc>
        <w:tc>
          <w:tcPr>
            <w:tcW w:w="1043" w:type="dxa"/>
            <w:vMerge w:val="restart"/>
            <w:tcBorders>
              <w:left w:val="doub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已排查城市重点经营性自建房</w:t>
            </w:r>
          </w:p>
        </w:tc>
        <w:tc>
          <w:tcPr>
            <w:tcW w:w="3657" w:type="dxa"/>
            <w:gridSpan w:val="3"/>
            <w:tcBorders>
              <w:right w:val="doub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jc w:val="both"/>
              <w:textAlignment w:val="center"/>
              <w:rPr>
                <w:rFonts w:hint="eastAsia"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其中：</w:t>
            </w:r>
          </w:p>
        </w:tc>
        <w:tc>
          <w:tcPr>
            <w:tcW w:w="1047" w:type="dxa"/>
            <w:vMerge w:val="restart"/>
            <w:tcBorders>
              <w:left w:val="double" w:color="000000" w:sz="4" w:space="0"/>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已排查农村重点经营性自建房</w:t>
            </w:r>
          </w:p>
        </w:tc>
        <w:tc>
          <w:tcPr>
            <w:tcW w:w="3653" w:type="dxa"/>
            <w:gridSpan w:val="3"/>
            <w:tcBorders>
              <w:right w:val="double" w:color="000000" w:sz="4" w:space="0"/>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both"/>
              <w:textAlignment w:val="center"/>
              <w:rPr>
                <w:rFonts w:hint="eastAsia"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其中：</w:t>
            </w:r>
          </w:p>
        </w:tc>
        <w:tc>
          <w:tcPr>
            <w:tcW w:w="1016" w:type="dxa"/>
            <w:vMerge w:val="restart"/>
            <w:tcBorders>
              <w:left w:val="doub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已排查</w:t>
            </w:r>
            <w:r>
              <w:rPr>
                <w:rFonts w:hint="eastAsia" w:ascii="宋体" w:eastAsia="宋体" w:cs="宋体"/>
                <w:i w:val="0"/>
                <w:color w:val="000000"/>
                <w:kern w:val="0"/>
                <w:sz w:val="21"/>
                <w:szCs w:val="21"/>
                <w:u w:val="none"/>
                <w:lang w:val="en-US" w:eastAsia="zh-CN"/>
              </w:rPr>
              <w:t>其他经营性自建房</w:t>
            </w:r>
          </w:p>
        </w:tc>
        <w:tc>
          <w:tcPr>
            <w:tcW w:w="3686" w:type="dxa"/>
            <w:gridSpan w:val="3"/>
            <w:noWrap/>
            <w:vAlign w:val="center"/>
          </w:tcPr>
          <w:p>
            <w:pPr>
              <w:keepNext w:val="0"/>
              <w:keepLines w:val="0"/>
              <w:pageBreakBefore w:val="0"/>
              <w:widowControl/>
              <w:suppressLineNumbers w:val="0"/>
              <w:kinsoku/>
              <w:overflowPunct/>
              <w:topLinePunct w:val="0"/>
              <w:autoSpaceDE/>
              <w:autoSpaceDN/>
              <w:bidi w:val="0"/>
              <w:adjustRightInd/>
              <w:snapToGrid/>
              <w:jc w:val="both"/>
              <w:textAlignment w:val="center"/>
              <w:rPr>
                <w:rFonts w:hint="eastAsia" w:ascii="宋体" w:hAnsi="Calibri" w:eastAsia="宋体" w:cs="宋体"/>
                <w:i w:val="0"/>
                <w:color w:val="000000"/>
                <w:kern w:val="2"/>
                <w:sz w:val="21"/>
                <w:szCs w:val="21"/>
                <w:u w:val="none"/>
                <w:lang w:val="en-US" w:eastAsia="zh-CN" w:bidi="ar-SA"/>
              </w:rPr>
            </w:pPr>
            <w:r>
              <w:rPr>
                <w:rFonts w:hint="eastAsia" w:ascii="宋体" w:cs="宋体"/>
                <w:i w:val="0"/>
                <w:color w:val="000000"/>
                <w:kern w:val="0"/>
                <w:sz w:val="21"/>
                <w:szCs w:val="21"/>
                <w:u w:val="none"/>
                <w:lang w:val="en-US" w:eastAsia="zh-CN"/>
              </w:rPr>
              <w:t>其中：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94" w:hRule="atLeast"/>
        </w:trPr>
        <w:tc>
          <w:tcPr>
            <w:tcW w:w="1170" w:type="dxa"/>
            <w:vMerge w:val="continue"/>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kern w:val="0"/>
                <w:sz w:val="21"/>
                <w:szCs w:val="21"/>
                <w:u w:val="none"/>
                <w:lang w:val="en-US" w:eastAsia="zh-CN"/>
              </w:rPr>
            </w:pPr>
          </w:p>
        </w:tc>
        <w:tc>
          <w:tcPr>
            <w:tcW w:w="1117" w:type="dxa"/>
            <w:vMerge w:val="continue"/>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kern w:val="0"/>
                <w:sz w:val="21"/>
                <w:szCs w:val="21"/>
                <w:u w:val="none"/>
                <w:lang w:val="en-US" w:eastAsia="zh-CN"/>
              </w:rPr>
            </w:pPr>
          </w:p>
        </w:tc>
        <w:tc>
          <w:tcPr>
            <w:tcW w:w="1060" w:type="dxa"/>
            <w:vMerge w:val="continue"/>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kern w:val="0"/>
                <w:sz w:val="21"/>
                <w:szCs w:val="21"/>
                <w:u w:val="none"/>
                <w:lang w:val="en-US" w:eastAsia="zh-CN"/>
              </w:rPr>
            </w:pPr>
          </w:p>
        </w:tc>
        <w:tc>
          <w:tcPr>
            <w:tcW w:w="1348" w:type="dxa"/>
            <w:tcBorders>
              <w:top w:val="single" w:color="000000" w:sz="4" w:space="0"/>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有用地手续</w:t>
            </w:r>
            <w:r>
              <w:rPr>
                <w:rFonts w:hint="eastAsia" w:ascii="宋体" w:cs="宋体"/>
                <w:i w:val="0"/>
                <w:color w:val="000000"/>
                <w:kern w:val="0"/>
                <w:sz w:val="21"/>
                <w:szCs w:val="21"/>
                <w:u w:val="none"/>
                <w:lang w:val="en-US" w:eastAsia="zh-CN"/>
              </w:rPr>
              <w:t>，但存在违法</w:t>
            </w:r>
            <w:r>
              <w:rPr>
                <w:rFonts w:hint="eastAsia" w:ascii="宋体" w:eastAsia="宋体" w:cs="宋体"/>
                <w:i w:val="0"/>
                <w:color w:val="000000"/>
                <w:kern w:val="0"/>
                <w:sz w:val="21"/>
                <w:szCs w:val="21"/>
                <w:u w:val="none"/>
                <w:lang w:val="en-US" w:eastAsia="zh-CN"/>
              </w:rPr>
              <w:t>违规</w:t>
            </w:r>
            <w:r>
              <w:rPr>
                <w:rFonts w:hint="eastAsia" w:ascii="宋体" w:cs="宋体"/>
                <w:i w:val="0"/>
                <w:color w:val="000000"/>
                <w:kern w:val="0"/>
                <w:sz w:val="21"/>
                <w:szCs w:val="21"/>
                <w:u w:val="none"/>
                <w:lang w:val="en-US" w:eastAsia="zh-CN"/>
              </w:rPr>
              <w:t>建设经营情况的</w:t>
            </w:r>
            <w:r>
              <w:rPr>
                <w:rFonts w:hint="eastAsia" w:ascii="宋体" w:eastAsia="宋体" w:cs="宋体"/>
                <w:i w:val="0"/>
                <w:color w:val="000000"/>
                <w:kern w:val="0"/>
                <w:sz w:val="21"/>
                <w:szCs w:val="21"/>
                <w:u w:val="none"/>
                <w:lang w:val="en-US" w:eastAsia="zh-CN"/>
              </w:rPr>
              <w:t xml:space="preserve">经营性自建房 </w:t>
            </w:r>
          </w:p>
        </w:tc>
        <w:tc>
          <w:tcPr>
            <w:tcW w:w="1175" w:type="dxa"/>
            <w:tcBorders>
              <w:top w:val="single" w:color="000000" w:sz="4" w:space="0"/>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 xml:space="preserve">未办理用地手续的违法违规经营性自建房 </w:t>
            </w:r>
          </w:p>
        </w:tc>
        <w:tc>
          <w:tcPr>
            <w:tcW w:w="1175" w:type="dxa"/>
            <w:tcBorders>
              <w:top w:val="single" w:color="000000" w:sz="4" w:space="0"/>
              <w:right w:val="double" w:color="000000" w:sz="4" w:space="0"/>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已</w:t>
            </w:r>
            <w:r>
              <w:rPr>
                <w:rFonts w:hint="eastAsia" w:ascii="宋体" w:cs="宋体"/>
                <w:i w:val="0"/>
                <w:color w:val="000000"/>
                <w:kern w:val="0"/>
                <w:sz w:val="21"/>
                <w:szCs w:val="21"/>
                <w:u w:val="none"/>
                <w:lang w:val="en-US" w:eastAsia="zh-CN"/>
              </w:rPr>
              <w:t>向</w:t>
            </w:r>
            <w:r>
              <w:rPr>
                <w:rFonts w:hint="eastAsia" w:ascii="宋体" w:eastAsia="宋体" w:cs="宋体"/>
                <w:i w:val="0"/>
                <w:color w:val="000000"/>
                <w:kern w:val="0"/>
                <w:sz w:val="21"/>
                <w:szCs w:val="21"/>
                <w:u w:val="none"/>
                <w:lang w:val="en-US" w:eastAsia="zh-CN"/>
              </w:rPr>
              <w:t>相关部门</w:t>
            </w:r>
            <w:r>
              <w:rPr>
                <w:rFonts w:hint="eastAsia" w:ascii="宋体" w:cs="宋体"/>
                <w:i w:val="0"/>
                <w:color w:val="000000"/>
                <w:kern w:val="0"/>
                <w:sz w:val="21"/>
                <w:szCs w:val="21"/>
                <w:u w:val="none"/>
                <w:lang w:val="en-US" w:eastAsia="zh-CN"/>
              </w:rPr>
              <w:t>移交处置</w:t>
            </w:r>
            <w:r>
              <w:rPr>
                <w:rFonts w:hint="eastAsia" w:ascii="宋体" w:eastAsia="宋体" w:cs="宋体"/>
                <w:i w:val="0"/>
                <w:color w:val="000000"/>
                <w:kern w:val="0"/>
                <w:sz w:val="21"/>
                <w:szCs w:val="21"/>
                <w:u w:val="none"/>
                <w:lang w:val="en-US" w:eastAsia="zh-CN"/>
              </w:rPr>
              <w:t>的</w:t>
            </w:r>
            <w:r>
              <w:rPr>
                <w:rFonts w:hint="eastAsia" w:ascii="宋体" w:cs="宋体"/>
                <w:i w:val="0"/>
                <w:color w:val="000000"/>
                <w:kern w:val="0"/>
                <w:sz w:val="21"/>
                <w:szCs w:val="21"/>
                <w:u w:val="none"/>
                <w:lang w:val="en-US" w:eastAsia="zh-CN"/>
              </w:rPr>
              <w:t>经营性自建房</w:t>
            </w:r>
          </w:p>
        </w:tc>
        <w:tc>
          <w:tcPr>
            <w:tcW w:w="1043" w:type="dxa"/>
            <w:vMerge w:val="continue"/>
            <w:tcBorders>
              <w:left w:val="doub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p>
        </w:tc>
        <w:tc>
          <w:tcPr>
            <w:tcW w:w="1307" w:type="dxa"/>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有用地手续</w:t>
            </w:r>
            <w:r>
              <w:rPr>
                <w:rFonts w:hint="eastAsia" w:ascii="宋体" w:cs="宋体"/>
                <w:i w:val="0"/>
                <w:color w:val="000000"/>
                <w:kern w:val="0"/>
                <w:sz w:val="21"/>
                <w:szCs w:val="21"/>
                <w:u w:val="none"/>
                <w:lang w:val="en-US" w:eastAsia="zh-CN"/>
              </w:rPr>
              <w:t>，但存在违法</w:t>
            </w:r>
            <w:r>
              <w:rPr>
                <w:rFonts w:hint="eastAsia" w:ascii="宋体" w:eastAsia="宋体" w:cs="宋体"/>
                <w:i w:val="0"/>
                <w:color w:val="000000"/>
                <w:kern w:val="0"/>
                <w:sz w:val="21"/>
                <w:szCs w:val="21"/>
                <w:u w:val="none"/>
                <w:lang w:val="en-US" w:eastAsia="zh-CN"/>
              </w:rPr>
              <w:t>违规</w:t>
            </w:r>
            <w:r>
              <w:rPr>
                <w:rFonts w:hint="eastAsia" w:ascii="宋体" w:cs="宋体"/>
                <w:i w:val="0"/>
                <w:color w:val="000000"/>
                <w:kern w:val="0"/>
                <w:sz w:val="21"/>
                <w:szCs w:val="21"/>
                <w:u w:val="none"/>
                <w:lang w:val="en-US" w:eastAsia="zh-CN"/>
              </w:rPr>
              <w:t>建设经营情况的</w:t>
            </w:r>
            <w:r>
              <w:rPr>
                <w:rFonts w:hint="eastAsia" w:ascii="宋体" w:eastAsia="宋体" w:cs="宋体"/>
                <w:i w:val="0"/>
                <w:color w:val="000000"/>
                <w:kern w:val="0"/>
                <w:sz w:val="21"/>
                <w:szCs w:val="21"/>
                <w:u w:val="none"/>
                <w:lang w:val="en-US" w:eastAsia="zh-CN"/>
              </w:rPr>
              <w:t xml:space="preserve">经营性自建房 </w:t>
            </w:r>
          </w:p>
        </w:tc>
        <w:tc>
          <w:tcPr>
            <w:tcW w:w="1175" w:type="dxa"/>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 xml:space="preserve">未办理用地手续的违法违规经营性自建房 </w:t>
            </w:r>
          </w:p>
        </w:tc>
        <w:tc>
          <w:tcPr>
            <w:tcW w:w="1175" w:type="dxa"/>
            <w:tcBorders>
              <w:right w:val="doub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已</w:t>
            </w:r>
            <w:r>
              <w:rPr>
                <w:rFonts w:hint="eastAsia" w:ascii="宋体" w:cs="宋体"/>
                <w:i w:val="0"/>
                <w:color w:val="000000"/>
                <w:kern w:val="0"/>
                <w:sz w:val="21"/>
                <w:szCs w:val="21"/>
                <w:u w:val="none"/>
                <w:lang w:val="en-US" w:eastAsia="zh-CN"/>
              </w:rPr>
              <w:t>向</w:t>
            </w:r>
            <w:r>
              <w:rPr>
                <w:rFonts w:hint="eastAsia" w:ascii="宋体" w:eastAsia="宋体" w:cs="宋体"/>
                <w:i w:val="0"/>
                <w:color w:val="000000"/>
                <w:kern w:val="0"/>
                <w:sz w:val="21"/>
                <w:szCs w:val="21"/>
                <w:u w:val="none"/>
                <w:lang w:val="en-US" w:eastAsia="zh-CN"/>
              </w:rPr>
              <w:t>相关部门</w:t>
            </w:r>
            <w:r>
              <w:rPr>
                <w:rFonts w:hint="eastAsia" w:ascii="宋体" w:cs="宋体"/>
                <w:i w:val="0"/>
                <w:color w:val="000000"/>
                <w:kern w:val="0"/>
                <w:sz w:val="21"/>
                <w:szCs w:val="21"/>
                <w:u w:val="none"/>
                <w:lang w:val="en-US" w:eastAsia="zh-CN"/>
              </w:rPr>
              <w:t>移交处置</w:t>
            </w:r>
            <w:r>
              <w:rPr>
                <w:rFonts w:hint="eastAsia" w:ascii="宋体" w:eastAsia="宋体" w:cs="宋体"/>
                <w:i w:val="0"/>
                <w:color w:val="000000"/>
                <w:kern w:val="0"/>
                <w:sz w:val="21"/>
                <w:szCs w:val="21"/>
                <w:u w:val="none"/>
                <w:lang w:val="en-US" w:eastAsia="zh-CN"/>
              </w:rPr>
              <w:t>的</w:t>
            </w:r>
            <w:r>
              <w:rPr>
                <w:rFonts w:hint="eastAsia" w:ascii="宋体" w:cs="宋体"/>
                <w:i w:val="0"/>
                <w:color w:val="000000"/>
                <w:kern w:val="0"/>
                <w:sz w:val="21"/>
                <w:szCs w:val="21"/>
                <w:u w:val="none"/>
                <w:lang w:val="en-US" w:eastAsia="zh-CN"/>
              </w:rPr>
              <w:t>经营性自建房</w:t>
            </w:r>
          </w:p>
        </w:tc>
        <w:tc>
          <w:tcPr>
            <w:tcW w:w="1047" w:type="dxa"/>
            <w:vMerge w:val="continue"/>
            <w:tcBorders>
              <w:left w:val="double" w:color="000000" w:sz="4" w:space="0"/>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p>
        </w:tc>
        <w:tc>
          <w:tcPr>
            <w:tcW w:w="1303"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有用地手续</w:t>
            </w:r>
            <w:r>
              <w:rPr>
                <w:rFonts w:hint="eastAsia" w:ascii="宋体" w:cs="宋体"/>
                <w:i w:val="0"/>
                <w:color w:val="000000"/>
                <w:kern w:val="0"/>
                <w:sz w:val="21"/>
                <w:szCs w:val="21"/>
                <w:u w:val="none"/>
                <w:lang w:val="en-US" w:eastAsia="zh-CN"/>
              </w:rPr>
              <w:t>，但存在违法</w:t>
            </w:r>
            <w:r>
              <w:rPr>
                <w:rFonts w:hint="eastAsia" w:ascii="宋体" w:eastAsia="宋体" w:cs="宋体"/>
                <w:i w:val="0"/>
                <w:color w:val="000000"/>
                <w:kern w:val="0"/>
                <w:sz w:val="21"/>
                <w:szCs w:val="21"/>
                <w:u w:val="none"/>
                <w:lang w:val="en-US" w:eastAsia="zh-CN"/>
              </w:rPr>
              <w:t>违规</w:t>
            </w:r>
            <w:r>
              <w:rPr>
                <w:rFonts w:hint="eastAsia" w:ascii="宋体" w:cs="宋体"/>
                <w:i w:val="0"/>
                <w:color w:val="000000"/>
                <w:kern w:val="0"/>
                <w:sz w:val="21"/>
                <w:szCs w:val="21"/>
                <w:u w:val="none"/>
                <w:lang w:val="en-US" w:eastAsia="zh-CN"/>
              </w:rPr>
              <w:t>建设经营情况的</w:t>
            </w:r>
            <w:r>
              <w:rPr>
                <w:rFonts w:hint="eastAsia" w:ascii="宋体" w:eastAsia="宋体" w:cs="宋体"/>
                <w:i w:val="0"/>
                <w:color w:val="000000"/>
                <w:kern w:val="0"/>
                <w:sz w:val="21"/>
                <w:szCs w:val="21"/>
                <w:u w:val="none"/>
                <w:lang w:val="en-US" w:eastAsia="zh-CN"/>
              </w:rPr>
              <w:t xml:space="preserve">经营性自建房 </w:t>
            </w:r>
          </w:p>
        </w:tc>
        <w:tc>
          <w:tcPr>
            <w:tcW w:w="1175"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 xml:space="preserve">未办理用地手续的违法违规经营性自建房 </w:t>
            </w:r>
          </w:p>
        </w:tc>
        <w:tc>
          <w:tcPr>
            <w:tcW w:w="1175" w:type="dxa"/>
            <w:tcBorders>
              <w:right w:val="double" w:color="000000" w:sz="4" w:space="0"/>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已</w:t>
            </w:r>
            <w:r>
              <w:rPr>
                <w:rFonts w:hint="eastAsia" w:ascii="宋体" w:cs="宋体"/>
                <w:i w:val="0"/>
                <w:color w:val="000000"/>
                <w:kern w:val="0"/>
                <w:sz w:val="21"/>
                <w:szCs w:val="21"/>
                <w:u w:val="none"/>
                <w:lang w:val="en-US" w:eastAsia="zh-CN"/>
              </w:rPr>
              <w:t>向</w:t>
            </w:r>
            <w:r>
              <w:rPr>
                <w:rFonts w:hint="eastAsia" w:ascii="宋体" w:eastAsia="宋体" w:cs="宋体"/>
                <w:i w:val="0"/>
                <w:color w:val="000000"/>
                <w:kern w:val="0"/>
                <w:sz w:val="21"/>
                <w:szCs w:val="21"/>
                <w:u w:val="none"/>
                <w:lang w:val="en-US" w:eastAsia="zh-CN"/>
              </w:rPr>
              <w:t>相关部门</w:t>
            </w:r>
            <w:r>
              <w:rPr>
                <w:rFonts w:hint="eastAsia" w:ascii="宋体" w:cs="宋体"/>
                <w:i w:val="0"/>
                <w:color w:val="000000"/>
                <w:kern w:val="0"/>
                <w:sz w:val="21"/>
                <w:szCs w:val="21"/>
                <w:u w:val="none"/>
                <w:lang w:val="en-US" w:eastAsia="zh-CN"/>
              </w:rPr>
              <w:t>移交处置</w:t>
            </w:r>
            <w:r>
              <w:rPr>
                <w:rFonts w:hint="eastAsia" w:ascii="宋体" w:eastAsia="宋体" w:cs="宋体"/>
                <w:i w:val="0"/>
                <w:color w:val="000000"/>
                <w:kern w:val="0"/>
                <w:sz w:val="21"/>
                <w:szCs w:val="21"/>
                <w:u w:val="none"/>
                <w:lang w:val="en-US" w:eastAsia="zh-CN"/>
              </w:rPr>
              <w:t>的</w:t>
            </w:r>
            <w:r>
              <w:rPr>
                <w:rFonts w:hint="eastAsia" w:ascii="宋体" w:cs="宋体"/>
                <w:i w:val="0"/>
                <w:color w:val="000000"/>
                <w:kern w:val="0"/>
                <w:sz w:val="21"/>
                <w:szCs w:val="21"/>
                <w:u w:val="none"/>
                <w:lang w:val="en-US" w:eastAsia="zh-CN"/>
              </w:rPr>
              <w:t>经营性自建房</w:t>
            </w:r>
          </w:p>
        </w:tc>
        <w:tc>
          <w:tcPr>
            <w:tcW w:w="1016" w:type="dxa"/>
            <w:vMerge w:val="continue"/>
            <w:tcBorders>
              <w:left w:val="doub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p>
        </w:tc>
        <w:tc>
          <w:tcPr>
            <w:tcW w:w="1334" w:type="dxa"/>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有用地手续</w:t>
            </w:r>
            <w:r>
              <w:rPr>
                <w:rFonts w:hint="eastAsia" w:ascii="宋体" w:cs="宋体"/>
                <w:i w:val="0"/>
                <w:color w:val="000000"/>
                <w:kern w:val="0"/>
                <w:sz w:val="21"/>
                <w:szCs w:val="21"/>
                <w:u w:val="none"/>
                <w:lang w:val="en-US" w:eastAsia="zh-CN"/>
              </w:rPr>
              <w:t>，但存在违法</w:t>
            </w:r>
            <w:r>
              <w:rPr>
                <w:rFonts w:hint="eastAsia" w:ascii="宋体" w:eastAsia="宋体" w:cs="宋体"/>
                <w:i w:val="0"/>
                <w:color w:val="000000"/>
                <w:kern w:val="0"/>
                <w:sz w:val="21"/>
                <w:szCs w:val="21"/>
                <w:u w:val="none"/>
                <w:lang w:val="en-US" w:eastAsia="zh-CN"/>
              </w:rPr>
              <w:t>违规</w:t>
            </w:r>
            <w:r>
              <w:rPr>
                <w:rFonts w:hint="eastAsia" w:ascii="宋体" w:cs="宋体"/>
                <w:i w:val="0"/>
                <w:color w:val="000000"/>
                <w:kern w:val="0"/>
                <w:sz w:val="21"/>
                <w:szCs w:val="21"/>
                <w:u w:val="none"/>
                <w:lang w:val="en-US" w:eastAsia="zh-CN"/>
              </w:rPr>
              <w:t>建设经营情况的</w:t>
            </w:r>
            <w:r>
              <w:rPr>
                <w:rFonts w:hint="eastAsia" w:ascii="宋体" w:eastAsia="宋体" w:cs="宋体"/>
                <w:i w:val="0"/>
                <w:color w:val="000000"/>
                <w:kern w:val="0"/>
                <w:sz w:val="21"/>
                <w:szCs w:val="21"/>
                <w:u w:val="none"/>
                <w:lang w:val="en-US" w:eastAsia="zh-CN"/>
              </w:rPr>
              <w:t xml:space="preserve">经营性自建房 </w:t>
            </w:r>
          </w:p>
        </w:tc>
        <w:tc>
          <w:tcPr>
            <w:tcW w:w="1176" w:type="dxa"/>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 xml:space="preserve">未办理用地手续的违法违规经营性自建房 </w:t>
            </w:r>
          </w:p>
        </w:tc>
        <w:tc>
          <w:tcPr>
            <w:tcW w:w="1176" w:type="dxa"/>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Calibri" w:eastAsia="宋体" w:cs="宋体"/>
                <w:i w:val="0"/>
                <w:color w:val="000000"/>
                <w:kern w:val="2"/>
                <w:sz w:val="21"/>
                <w:szCs w:val="21"/>
                <w:u w:val="none"/>
                <w:lang w:val="en-US" w:eastAsia="zh-CN" w:bidi="ar-SA"/>
              </w:rPr>
            </w:pPr>
            <w:r>
              <w:rPr>
                <w:rFonts w:hint="eastAsia" w:ascii="宋体" w:eastAsia="宋体" w:cs="宋体"/>
                <w:i w:val="0"/>
                <w:color w:val="000000"/>
                <w:kern w:val="0"/>
                <w:sz w:val="21"/>
                <w:szCs w:val="21"/>
                <w:u w:val="none"/>
                <w:lang w:val="en-US" w:eastAsia="zh-CN"/>
              </w:rPr>
              <w:t>已</w:t>
            </w:r>
            <w:r>
              <w:rPr>
                <w:rFonts w:hint="eastAsia" w:ascii="宋体" w:cs="宋体"/>
                <w:i w:val="0"/>
                <w:color w:val="000000"/>
                <w:kern w:val="0"/>
                <w:sz w:val="21"/>
                <w:szCs w:val="21"/>
                <w:u w:val="none"/>
                <w:lang w:val="en-US" w:eastAsia="zh-CN"/>
              </w:rPr>
              <w:t>向</w:t>
            </w:r>
            <w:r>
              <w:rPr>
                <w:rFonts w:hint="eastAsia" w:ascii="宋体" w:eastAsia="宋体" w:cs="宋体"/>
                <w:i w:val="0"/>
                <w:color w:val="000000"/>
                <w:kern w:val="0"/>
                <w:sz w:val="21"/>
                <w:szCs w:val="21"/>
                <w:u w:val="none"/>
                <w:lang w:val="en-US" w:eastAsia="zh-CN"/>
              </w:rPr>
              <w:t>相关部门</w:t>
            </w:r>
            <w:r>
              <w:rPr>
                <w:rFonts w:hint="eastAsia" w:ascii="宋体" w:cs="宋体"/>
                <w:i w:val="0"/>
                <w:color w:val="000000"/>
                <w:kern w:val="0"/>
                <w:sz w:val="21"/>
                <w:szCs w:val="21"/>
                <w:u w:val="none"/>
                <w:lang w:val="en-US" w:eastAsia="zh-CN"/>
              </w:rPr>
              <w:t>移交处置</w:t>
            </w:r>
            <w:r>
              <w:rPr>
                <w:rFonts w:hint="eastAsia" w:ascii="宋体" w:eastAsia="宋体" w:cs="宋体"/>
                <w:i w:val="0"/>
                <w:color w:val="000000"/>
                <w:kern w:val="0"/>
                <w:sz w:val="21"/>
                <w:szCs w:val="21"/>
                <w:u w:val="none"/>
                <w:lang w:val="en-US" w:eastAsia="zh-CN"/>
              </w:rPr>
              <w:t>的</w:t>
            </w:r>
            <w:r>
              <w:rPr>
                <w:rFonts w:hint="eastAsia" w:ascii="宋体" w:cs="宋体"/>
                <w:i w:val="0"/>
                <w:color w:val="000000"/>
                <w:kern w:val="0"/>
                <w:sz w:val="21"/>
                <w:szCs w:val="21"/>
                <w:u w:val="none"/>
                <w:lang w:val="en-US" w:eastAsia="zh-CN"/>
              </w:rPr>
              <w:t>经营性自建房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rPr>
              <w:t>示例</w:t>
            </w:r>
          </w:p>
        </w:tc>
        <w:tc>
          <w:tcPr>
            <w:tcW w:w="1117"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rPr>
              <w:t>1</w:t>
            </w:r>
          </w:p>
        </w:tc>
        <w:tc>
          <w:tcPr>
            <w:tcW w:w="1060"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rPr>
              <w:t>2</w:t>
            </w:r>
          </w:p>
        </w:tc>
        <w:tc>
          <w:tcPr>
            <w:tcW w:w="1348"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rPr>
              <w:t>3</w:t>
            </w:r>
          </w:p>
        </w:tc>
        <w:tc>
          <w:tcPr>
            <w:tcW w:w="1175"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rPr>
              <w:t>4</w:t>
            </w:r>
          </w:p>
        </w:tc>
        <w:tc>
          <w:tcPr>
            <w:tcW w:w="1175" w:type="dxa"/>
            <w:tcBorders>
              <w:right w:val="double" w:color="000000" w:sz="4" w:space="0"/>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rPr>
              <w:t>5</w:t>
            </w:r>
          </w:p>
        </w:tc>
        <w:tc>
          <w:tcPr>
            <w:tcW w:w="1043" w:type="dxa"/>
            <w:tcBorders>
              <w:left w:val="double" w:color="000000" w:sz="4" w:space="0"/>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6</w:t>
            </w:r>
          </w:p>
        </w:tc>
        <w:tc>
          <w:tcPr>
            <w:tcW w:w="1307" w:type="dxa"/>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eastAsia="宋体" w:cs="宋体"/>
                <w:i w:val="0"/>
                <w:color w:val="000000"/>
                <w:sz w:val="21"/>
                <w:szCs w:val="21"/>
                <w:u w:val="none"/>
              </w:rPr>
            </w:pPr>
            <w:r>
              <w:rPr>
                <w:rFonts w:hint="eastAsia" w:ascii="宋体" w:cs="宋体"/>
                <w:i w:val="0"/>
                <w:color w:val="000000"/>
                <w:kern w:val="0"/>
                <w:sz w:val="21"/>
                <w:szCs w:val="21"/>
                <w:u w:val="none"/>
                <w:lang w:val="en-US" w:eastAsia="zh-CN"/>
              </w:rPr>
              <w:t>7</w:t>
            </w:r>
          </w:p>
        </w:tc>
        <w:tc>
          <w:tcPr>
            <w:tcW w:w="1175" w:type="dxa"/>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8</w:t>
            </w:r>
          </w:p>
        </w:tc>
        <w:tc>
          <w:tcPr>
            <w:tcW w:w="1175" w:type="dxa"/>
            <w:tcBorders>
              <w:right w:val="double" w:color="000000" w:sz="4" w:space="0"/>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9</w:t>
            </w:r>
          </w:p>
        </w:tc>
        <w:tc>
          <w:tcPr>
            <w:tcW w:w="1047" w:type="dxa"/>
            <w:tcBorders>
              <w:left w:val="double" w:color="000000" w:sz="4" w:space="0"/>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10</w:t>
            </w:r>
          </w:p>
        </w:tc>
        <w:tc>
          <w:tcPr>
            <w:tcW w:w="1303"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11</w:t>
            </w:r>
          </w:p>
        </w:tc>
        <w:tc>
          <w:tcPr>
            <w:tcW w:w="1175" w:type="dxa"/>
            <w:tcBorders>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12</w:t>
            </w:r>
          </w:p>
        </w:tc>
        <w:tc>
          <w:tcPr>
            <w:tcW w:w="1175" w:type="dxa"/>
            <w:tcBorders>
              <w:right w:val="double" w:color="000000" w:sz="4" w:space="0"/>
              <w:tl2br w:val="nil"/>
              <w:tr2bl w:val="nil"/>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13</w:t>
            </w:r>
          </w:p>
        </w:tc>
        <w:tc>
          <w:tcPr>
            <w:tcW w:w="1016" w:type="dxa"/>
            <w:tcBorders>
              <w:left w:val="double" w:color="000000" w:sz="4" w:space="0"/>
            </w:tcBorders>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14</w:t>
            </w:r>
          </w:p>
        </w:tc>
        <w:tc>
          <w:tcPr>
            <w:tcW w:w="1334" w:type="dxa"/>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15</w:t>
            </w:r>
          </w:p>
        </w:tc>
        <w:tc>
          <w:tcPr>
            <w:tcW w:w="1176" w:type="dxa"/>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16</w:t>
            </w:r>
          </w:p>
        </w:tc>
        <w:tc>
          <w:tcPr>
            <w:tcW w:w="1176" w:type="dxa"/>
            <w:shd w:val="clear" w:color="auto" w:fill="D9D9D9"/>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i w:val="0"/>
                <w:color w:val="000000"/>
                <w:sz w:val="21"/>
                <w:szCs w:val="21"/>
                <w:u w:val="none"/>
                <w:lang w:val="en-US"/>
              </w:rPr>
            </w:pPr>
            <w:r>
              <w:rPr>
                <w:rFonts w:hint="eastAsia" w:ascii="宋体" w:cs="宋体"/>
                <w:i w:val="0"/>
                <w:color w:val="000000"/>
                <w:kern w:val="0"/>
                <w:sz w:val="21"/>
                <w:szCs w:val="21"/>
                <w:u w:val="none"/>
                <w:lang w:val="en-US" w:eastAsia="zh-CN"/>
              </w:rPr>
              <w:t>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17"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4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3"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7"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7"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6"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34"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17"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4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3"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7"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7"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6"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34"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17"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4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3"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7"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7"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6"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34"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17"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4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3"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7"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7"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6"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34"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17"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4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3"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7"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7"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6"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34"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17"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4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3"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7"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7"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6"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34"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17"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4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3"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7"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7"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6"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34"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17"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6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4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3"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7"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47"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0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016"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334"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宋体" w:eastAsia="宋体" w:cs="宋体"/>
                <w:b/>
                <w:i w:val="0"/>
                <w:color w:val="000000"/>
                <w:sz w:val="21"/>
                <w:szCs w:val="21"/>
                <w:u w:val="none"/>
                <w:lang w:val="en-US"/>
              </w:rPr>
            </w:pPr>
            <w:r>
              <w:rPr>
                <w:rFonts w:hint="eastAsia" w:ascii="宋体" w:cs="宋体"/>
                <w:b/>
                <w:i w:val="0"/>
                <w:color w:val="000000"/>
                <w:kern w:val="0"/>
                <w:sz w:val="21"/>
                <w:szCs w:val="21"/>
                <w:u w:val="none"/>
                <w:lang w:val="en-US" w:eastAsia="zh-CN"/>
              </w:rPr>
              <w:t>总计</w:t>
            </w:r>
          </w:p>
        </w:tc>
        <w:tc>
          <w:tcPr>
            <w:tcW w:w="1117"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060"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348"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043"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307"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175"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175" w:type="dxa"/>
            <w:tcBorders>
              <w:righ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047" w:type="dxa"/>
            <w:tcBorders>
              <w:lef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303"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175" w:type="dxa"/>
            <w:tcBorders>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175" w:type="dxa"/>
            <w:tcBorders>
              <w:right w:val="double" w:color="000000" w:sz="4" w:space="0"/>
              <w:tl2br w:val="nil"/>
              <w:tr2bl w:val="nil"/>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016" w:type="dxa"/>
            <w:tcBorders>
              <w:left w:val="double" w:color="000000" w:sz="4" w:space="0"/>
            </w:tcBorders>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334"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c>
          <w:tcPr>
            <w:tcW w:w="1176" w:type="dxa"/>
            <w:noWrap/>
            <w:vAlign w:val="center"/>
          </w:tcPr>
          <w:p>
            <w:pPr>
              <w:keepNext w:val="0"/>
              <w:keepLines w:val="0"/>
              <w:pageBreakBefore w:val="0"/>
              <w:kinsoku/>
              <w:overflowPunct/>
              <w:topLinePunct w:val="0"/>
              <w:autoSpaceDE/>
              <w:autoSpaceDN/>
              <w:bidi w:val="0"/>
              <w:adjustRightInd/>
              <w:snapToGrid/>
              <w:jc w:val="center"/>
              <w:rPr>
                <w:rFonts w:hint="eastAsia" w:ascii="宋体" w:eastAsia="宋体" w:cs="宋体"/>
                <w:b/>
                <w:i w:val="0"/>
                <w:color w:val="000000"/>
                <w:sz w:val="21"/>
                <w:szCs w:val="21"/>
                <w:u w:val="none"/>
              </w:rPr>
            </w:pPr>
          </w:p>
        </w:tc>
      </w:tr>
    </w:tbl>
    <w:p>
      <w:pPr>
        <w:pStyle w:val="2"/>
        <w:keepNext w:val="0"/>
        <w:keepLines w:val="0"/>
        <w:pageBreakBefore w:val="0"/>
        <w:widowControl w:val="0"/>
        <w:kinsoku/>
        <w:wordWrap/>
        <w:overflowPunct/>
        <w:topLinePunct w:val="0"/>
        <w:autoSpaceDE/>
        <w:autoSpaceDN/>
        <w:bidi w:val="0"/>
        <w:adjustRightInd/>
        <w:snapToGrid/>
        <w:spacing w:after="0" w:line="340" w:lineRule="exact"/>
        <w:ind w:left="0" w:firstLine="480" w:firstLineChars="200"/>
        <w:jc w:val="both"/>
        <w:textAlignment w:val="auto"/>
        <w:rPr>
          <w:rFonts w:hint="eastAsia" w:ascii="宋体" w:eastAsia="宋体" w:cs="宋体"/>
          <w:i w:val="0"/>
          <w:color w:val="000000"/>
          <w:kern w:val="0"/>
          <w:sz w:val="24"/>
          <w:szCs w:val="24"/>
          <w:u w:val="none"/>
          <w:lang w:val="en-US" w:eastAsia="zh-CN"/>
        </w:rPr>
      </w:pPr>
      <w:r>
        <w:rPr>
          <w:rFonts w:hint="eastAsia" w:ascii="宋体" w:eastAsia="宋体" w:cs="宋体"/>
          <w:i w:val="0"/>
          <w:color w:val="000000"/>
          <w:kern w:val="0"/>
          <w:sz w:val="24"/>
          <w:szCs w:val="24"/>
          <w:u w:val="none"/>
          <w:lang w:val="en-US" w:eastAsia="zh-CN"/>
        </w:rPr>
        <w:t>填表说明：1.第1列应排查经营性自建房合计，填报辖区内实际存在的所有经营性自建房数量。</w:t>
      </w:r>
    </w:p>
    <w:p>
      <w:pPr>
        <w:pStyle w:val="2"/>
        <w:keepNext w:val="0"/>
        <w:keepLines w:val="0"/>
        <w:pageBreakBefore w:val="0"/>
        <w:widowControl w:val="0"/>
        <w:kinsoku/>
        <w:wordWrap/>
        <w:overflowPunct/>
        <w:topLinePunct w:val="0"/>
        <w:autoSpaceDE/>
        <w:autoSpaceDN/>
        <w:bidi w:val="0"/>
        <w:adjustRightInd/>
        <w:snapToGrid/>
        <w:spacing w:after="0" w:line="340" w:lineRule="exact"/>
        <w:ind w:left="0" w:firstLine="1680" w:firstLineChars="700"/>
        <w:jc w:val="both"/>
        <w:textAlignment w:val="auto"/>
        <w:rPr>
          <w:rFonts w:hint="eastAsia" w:ascii="宋体" w:eastAsia="宋体" w:cs="宋体"/>
          <w:i w:val="0"/>
          <w:color w:val="000000"/>
          <w:kern w:val="0"/>
          <w:sz w:val="24"/>
          <w:szCs w:val="24"/>
          <w:u w:val="none"/>
          <w:lang w:val="en-US" w:eastAsia="zh-CN"/>
        </w:rPr>
      </w:pPr>
      <w:r>
        <w:rPr>
          <w:rFonts w:hint="eastAsia" w:ascii="宋体" w:eastAsia="宋体" w:cs="宋体"/>
          <w:i w:val="0"/>
          <w:color w:val="000000"/>
          <w:kern w:val="0"/>
          <w:sz w:val="24"/>
          <w:szCs w:val="24"/>
          <w:u w:val="none"/>
          <w:lang w:val="en-US" w:eastAsia="zh-CN"/>
        </w:rPr>
        <w:t>2.相关列数据逻辑关系为：2=6+10+14；3=7+11+15；4=8+12+16；5=9+13+17。</w:t>
      </w:r>
    </w:p>
    <w:p>
      <w:pPr>
        <w:pStyle w:val="2"/>
        <w:keepNext w:val="0"/>
        <w:keepLines w:val="0"/>
        <w:pageBreakBefore w:val="0"/>
        <w:widowControl w:val="0"/>
        <w:kinsoku/>
        <w:wordWrap/>
        <w:overflowPunct/>
        <w:topLinePunct w:val="0"/>
        <w:autoSpaceDE/>
        <w:autoSpaceDN/>
        <w:bidi w:val="0"/>
        <w:adjustRightInd/>
        <w:snapToGrid/>
        <w:spacing w:after="0" w:line="340" w:lineRule="exact"/>
        <w:ind w:left="1343" w:leftChars="525" w:hanging="240" w:hangingChars="100"/>
        <w:jc w:val="both"/>
        <w:textAlignment w:val="auto"/>
        <w:rPr>
          <w:rFonts w:hint="eastAsia" w:ascii="宋体" w:eastAsia="宋体" w:cs="宋体"/>
          <w:i w:val="0"/>
          <w:color w:val="000000"/>
          <w:kern w:val="0"/>
          <w:sz w:val="24"/>
          <w:szCs w:val="24"/>
          <w:u w:val="none"/>
          <w:lang w:val="en-US" w:eastAsia="zh-CN"/>
        </w:rPr>
      </w:pPr>
      <w:r>
        <w:rPr>
          <w:rFonts w:hint="eastAsia" w:ascii="宋体" w:eastAsia="宋体" w:cs="宋体"/>
          <w:i w:val="0"/>
          <w:color w:val="000000"/>
          <w:kern w:val="0"/>
          <w:sz w:val="24"/>
          <w:szCs w:val="24"/>
          <w:u w:val="none"/>
          <w:lang w:val="en-US" w:eastAsia="zh-CN"/>
        </w:rPr>
        <w:t>3.违法违规建设经营情况主要包括：未取得土地、规划、建设等手续擅自建房，未按照许可规定建房，违规加层、改建、扩建、破墙开门、改变承重结构装修，擅自改变房屋用途，非法开挖地下空间，违规经营等。</w:t>
      </w:r>
    </w:p>
    <w:p>
      <w:pPr>
        <w:pStyle w:val="2"/>
        <w:keepNext w:val="0"/>
        <w:keepLines w:val="0"/>
        <w:pageBreakBefore w:val="0"/>
        <w:widowControl w:val="0"/>
        <w:kinsoku/>
        <w:wordWrap/>
        <w:overflowPunct/>
        <w:topLinePunct w:val="0"/>
        <w:autoSpaceDE/>
        <w:autoSpaceDN/>
        <w:bidi w:val="0"/>
        <w:adjustRightInd/>
        <w:snapToGrid/>
        <w:spacing w:after="0" w:line="340" w:lineRule="exact"/>
        <w:ind w:left="0" w:firstLine="1680" w:firstLineChars="700"/>
        <w:jc w:val="both"/>
        <w:textAlignment w:val="auto"/>
        <w:rPr>
          <w:rFonts w:hint="eastAsia" w:ascii="宋体" w:eastAsia="宋体" w:cs="宋体"/>
          <w:i w:val="0"/>
          <w:color w:val="000000"/>
          <w:kern w:val="0"/>
          <w:sz w:val="24"/>
          <w:szCs w:val="24"/>
          <w:u w:val="none"/>
          <w:lang w:val="en-US" w:eastAsia="zh-CN"/>
        </w:rPr>
      </w:pPr>
      <w:r>
        <w:rPr>
          <w:rFonts w:hint="eastAsia" w:ascii="宋体" w:eastAsia="宋体" w:cs="宋体"/>
          <w:i w:val="0"/>
          <w:color w:val="000000"/>
          <w:kern w:val="0"/>
          <w:sz w:val="24"/>
          <w:szCs w:val="24"/>
          <w:u w:val="none"/>
          <w:lang w:val="en-US" w:eastAsia="zh-CN"/>
        </w:rPr>
        <w:t>4.城市重点经营性自建房指：城中村、城乡结合部、安置区、学校医院周边、工业园区等区域的经营性自建房。</w:t>
      </w:r>
    </w:p>
    <w:p>
      <w:pPr>
        <w:pStyle w:val="2"/>
        <w:keepNext w:val="0"/>
        <w:keepLines w:val="0"/>
        <w:pageBreakBefore w:val="0"/>
        <w:widowControl w:val="0"/>
        <w:kinsoku/>
        <w:wordWrap/>
        <w:overflowPunct/>
        <w:topLinePunct w:val="0"/>
        <w:autoSpaceDE/>
        <w:autoSpaceDN/>
        <w:bidi w:val="0"/>
        <w:adjustRightInd/>
        <w:snapToGrid/>
        <w:spacing w:after="0" w:line="340" w:lineRule="exact"/>
        <w:ind w:left="1260" w:leftChars="600" w:firstLine="0" w:firstLineChars="0"/>
        <w:jc w:val="both"/>
        <w:textAlignment w:val="auto"/>
        <w:rPr>
          <w:rFonts w:hint="eastAsia" w:ascii="宋体" w:eastAsia="宋体" w:cs="宋体"/>
          <w:i w:val="0"/>
          <w:color w:val="000000"/>
          <w:kern w:val="0"/>
          <w:sz w:val="24"/>
          <w:szCs w:val="24"/>
          <w:u w:val="none"/>
          <w:lang w:val="en-US" w:eastAsia="zh-CN"/>
        </w:rPr>
      </w:pPr>
      <w:r>
        <w:rPr>
          <w:rFonts w:hint="eastAsia" w:ascii="宋体" w:eastAsia="宋体" w:cs="宋体"/>
          <w:i w:val="0"/>
          <w:color w:val="000000"/>
          <w:kern w:val="0"/>
          <w:sz w:val="24"/>
          <w:szCs w:val="24"/>
          <w:u w:val="none"/>
          <w:lang w:val="en-US" w:eastAsia="zh-CN"/>
        </w:rPr>
        <w:t>农村重点经营性自建房指：乡镇政府驻地村、乡镇范围内的农村社区、大型厂矿企业周边等区域的经营性自建房。</w:t>
      </w:r>
    </w:p>
    <w:p>
      <w:pPr>
        <w:widowControl w:val="0"/>
        <w:numPr>
          <w:ilvl w:val="0"/>
          <w:numId w:val="0"/>
        </w:numPr>
        <w:jc w:val="both"/>
        <w:rPr>
          <w:rFonts w:hint="eastAsia" w:ascii="仿宋" w:hAnsi="仿宋" w:eastAsia="仿宋" w:cs="仿宋"/>
          <w:sz w:val="32"/>
          <w:szCs w:val="32"/>
        </w:rPr>
      </w:pPr>
    </w:p>
    <w:p/>
    <w:sectPr>
      <w:footerReference r:id="rId5" w:type="default"/>
      <w:pgSz w:w="23811" w:h="16838" w:orient="landscape"/>
      <w:pgMar w:top="850" w:right="1440" w:bottom="850" w:left="1440" w:header="851" w:footer="992"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ZThiZTZhYWM4OWU3NmNhZGRhNTE1ZjJmMmZlMDEifQ=="/>
  </w:docVars>
  <w:rsids>
    <w:rsidRoot w:val="2ABC6414"/>
    <w:rsid w:val="2ABC6414"/>
    <w:rsid w:val="3A48585F"/>
    <w:rsid w:val="42CB20D8"/>
    <w:rsid w:val="4B4316F4"/>
    <w:rsid w:val="53F35924"/>
    <w:rsid w:val="70441FAD"/>
    <w:rsid w:val="7F9E5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ind w:left="0" w:leftChars="0" w:firstLine="40"/>
    </w:pPr>
    <w:rPr>
      <w:rFonts w:ascii="仿宋_GB2312" w:hAnsi="仿宋_GB2312" w:eastAsia="仿宋" w:cs="仿宋_GB2312"/>
      <w:sz w:val="32"/>
      <w:szCs w:val="32"/>
    </w:rPr>
  </w:style>
  <w:style w:type="paragraph" w:customStyle="1" w:styleId="3">
    <w:name w:val="Body Text Indent1"/>
    <w:basedOn w:val="1"/>
    <w:qFormat/>
    <w:uiPriority w:val="0"/>
    <w:pPr>
      <w:spacing w:after="120"/>
      <w:ind w:left="200" w:leftChars="200"/>
    </w:pPr>
  </w:style>
  <w:style w:type="paragraph" w:styleId="4">
    <w:name w:val="Body Text Indent"/>
    <w:basedOn w:val="1"/>
    <w:qFormat/>
    <w:uiPriority w:val="0"/>
    <w:pPr>
      <w:spacing w:after="120"/>
      <w:ind w:left="20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left="0" w:leftChars="0" w:firstLine="40"/>
    </w:pPr>
    <w:rPr>
      <w:rFonts w:ascii="仿宋_GB2312" w:hAnsi="仿宋_GB2312" w:eastAsia="仿宋" w:cs="仿宋_GB2312"/>
      <w:sz w:val="32"/>
      <w:szCs w:val="32"/>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4052</Words>
  <Characters>4173</Characters>
  <Lines>0</Lines>
  <Paragraphs>0</Paragraphs>
  <TotalTime>3</TotalTime>
  <ScaleCrop>false</ScaleCrop>
  <LinksUpToDate>false</LinksUpToDate>
  <CharactersWithSpaces>4336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2022-06-30T02:23:00Z</dcterms:created>
  <dc:creator>Administrator</dc:creator>
  <cp:lastModifiedBy>庆红文印</cp:lastModifiedBy>
  <dcterms:modified xsi:type="dcterms:W3CDTF">2022-07-01T10:49:26Z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44A47D0D0A44405DAAC33581498F3461</vt:lpwstr>
  </property>
</Properties>
</file>