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10"/>
          <w:szCs w:val="10"/>
        </w:rPr>
      </w:pPr>
    </w:p>
    <w:p>
      <w:pPr>
        <w:rPr>
          <w:rFonts w:hint="eastAsia"/>
          <w:sz w:val="10"/>
          <w:szCs w:val="10"/>
        </w:rPr>
      </w:pPr>
    </w:p>
    <w:p>
      <w:pPr>
        <w:rPr>
          <w:rFonts w:hint="eastAsia"/>
          <w:sz w:val="10"/>
          <w:szCs w:val="10"/>
        </w:rPr>
      </w:pPr>
    </w:p>
    <w:p>
      <w:pPr>
        <w:rPr>
          <w:rFonts w:hint="eastAsia"/>
          <w:sz w:val="10"/>
          <w:szCs w:val="10"/>
        </w:rPr>
      </w:pPr>
    </w:p>
    <w:p>
      <w:pPr>
        <w:spacing w:line="600" w:lineRule="exact"/>
        <w:jc w:val="center"/>
        <w:rPr>
          <w:rFonts w:hint="eastAsia" w:ascii="宋体" w:hAnsi="宋体" w:cs="宋体"/>
          <w:b/>
          <w:bCs/>
          <w:sz w:val="44"/>
          <w:szCs w:val="44"/>
        </w:rPr>
      </w:pPr>
      <w:r>
        <w:rPr>
          <w:rFonts w:hint="eastAsia" w:ascii="宋体" w:hAnsi="宋体" w:cs="宋体"/>
          <w:b/>
          <w:bCs/>
          <w:sz w:val="44"/>
          <w:szCs w:val="44"/>
          <w:lang w:eastAsia="zh-CN"/>
        </w:rPr>
        <w:t>薛圐圙乡</w:t>
      </w:r>
      <w:r>
        <w:rPr>
          <w:rFonts w:hint="eastAsia" w:ascii="宋体" w:hAnsi="宋体" w:cs="宋体"/>
          <w:b/>
          <w:bCs/>
          <w:sz w:val="44"/>
          <w:szCs w:val="44"/>
        </w:rPr>
        <w:t>人民政府</w:t>
      </w:r>
    </w:p>
    <w:p>
      <w:pPr>
        <w:wordWrap w:val="0"/>
        <w:spacing w:line="598" w:lineRule="exact"/>
        <w:jc w:val="center"/>
        <w:rPr>
          <w:rFonts w:hint="eastAsia" w:ascii="宋体" w:hAnsi="宋体" w:cs="宋体"/>
          <w:b/>
          <w:bCs/>
          <w:color w:val="000000"/>
          <w:kern w:val="0"/>
          <w:sz w:val="44"/>
          <w:szCs w:val="44"/>
        </w:rPr>
      </w:pPr>
      <w:r>
        <w:rPr>
          <w:rFonts w:hint="eastAsia" w:ascii="宋体" w:hAnsi="宋体" w:cs="宋体"/>
          <w:b/>
          <w:bCs/>
          <w:sz w:val="44"/>
          <w:szCs w:val="44"/>
        </w:rPr>
        <w:t>关于开展全县</w:t>
      </w:r>
      <w:r>
        <w:rPr>
          <w:rFonts w:hint="eastAsia" w:ascii="宋体" w:hAnsi="宋体" w:cs="宋体"/>
          <w:b/>
          <w:bCs/>
          <w:color w:val="000000"/>
          <w:kern w:val="0"/>
          <w:sz w:val="44"/>
          <w:szCs w:val="44"/>
        </w:rPr>
        <w:t>安全生产领域风险隐患</w:t>
      </w:r>
    </w:p>
    <w:p>
      <w:pPr>
        <w:wordWrap w:val="0"/>
        <w:spacing w:line="598" w:lineRule="exact"/>
        <w:jc w:val="center"/>
        <w:rPr>
          <w:rFonts w:hint="eastAsia"/>
          <w:sz w:val="32"/>
          <w:szCs w:val="32"/>
        </w:rPr>
      </w:pPr>
      <w:r>
        <w:rPr>
          <w:rFonts w:hint="eastAsia" w:ascii="宋体" w:hAnsi="宋体" w:cs="宋体"/>
          <w:b/>
          <w:bCs/>
          <w:color w:val="000000"/>
          <w:kern w:val="0"/>
          <w:sz w:val="44"/>
          <w:szCs w:val="44"/>
        </w:rPr>
        <w:t>大排查大整治“百日攻坚”集中行动</w:t>
      </w:r>
      <w:r>
        <w:rPr>
          <w:rFonts w:hint="eastAsia" w:ascii="宋体" w:hAnsi="宋体" w:cs="宋体"/>
          <w:b/>
          <w:bCs/>
          <w:sz w:val="44"/>
          <w:szCs w:val="44"/>
        </w:rPr>
        <w:t>的通知</w:t>
      </w:r>
    </w:p>
    <w:p>
      <w:pPr>
        <w:jc w:val="center"/>
        <w:rPr>
          <w:rFonts w:hint="default" w:ascii="方正小标宋简体" w:hAnsi="方正小标宋简体" w:eastAsia="方正小标宋简体"/>
          <w:b w:val="0"/>
          <w:color w:val="auto"/>
          <w:position w:val="0"/>
          <w:sz w:val="44"/>
          <w:szCs w:val="44"/>
        </w:rPr>
      </w:pPr>
      <w:r>
        <w:rPr>
          <w:rFonts w:hint="eastAsia" w:ascii="仿宋" w:hAnsi="仿宋" w:eastAsia="仿宋" w:cs="仿宋"/>
          <w:sz w:val="32"/>
          <w:szCs w:val="32"/>
        </w:rPr>
        <w:t>薛</w:t>
      </w:r>
      <w:r>
        <w:rPr>
          <w:rFonts w:hint="eastAsia" w:ascii="仿宋" w:hAnsi="仿宋" w:eastAsia="仿宋" w:cs="仿宋"/>
          <w:sz w:val="32"/>
          <w:szCs w:val="32"/>
          <w:lang w:val="en-US" w:eastAsia="zh-CN"/>
        </w:rPr>
        <w:t>政</w:t>
      </w:r>
      <w:r>
        <w:rPr>
          <w:rFonts w:hint="eastAsia" w:ascii="仿宋" w:hAnsi="仿宋" w:eastAsia="仿宋" w:cs="仿宋"/>
          <w:sz w:val="32"/>
          <w:szCs w:val="32"/>
        </w:rPr>
        <w:t>发</w:t>
      </w:r>
      <w:r>
        <w:rPr>
          <w:rFonts w:hint="eastAsia" w:ascii="仿宋" w:hAnsi="仿宋" w:eastAsia="仿宋" w:cs="仿宋"/>
          <w:b/>
          <w:bCs/>
          <w:sz w:val="32"/>
          <w:szCs w:val="32"/>
        </w:rPr>
        <w:t>〔</w:t>
      </w:r>
      <w:r>
        <w:rPr>
          <w:rFonts w:hint="eastAsia" w:ascii="仿宋" w:hAnsi="仿宋" w:eastAsia="仿宋" w:cs="仿宋"/>
          <w:sz w:val="32"/>
          <w:szCs w:val="32"/>
        </w:rPr>
        <w:t>20</w:t>
      </w:r>
      <w:r>
        <w:rPr>
          <w:rFonts w:hint="eastAsia" w:ascii="仿宋" w:hAnsi="仿宋" w:eastAsia="仿宋" w:cs="仿宋"/>
          <w:sz w:val="32"/>
          <w:szCs w:val="32"/>
          <w:lang w:val="en-US" w:eastAsia="zh-CN"/>
        </w:rPr>
        <w:t>22</w:t>
      </w:r>
      <w:r>
        <w:rPr>
          <w:rFonts w:hint="eastAsia" w:ascii="仿宋" w:hAnsi="仿宋" w:eastAsia="仿宋" w:cs="仿宋"/>
          <w:b/>
          <w:bCs/>
          <w:sz w:val="32"/>
          <w:szCs w:val="32"/>
        </w:rPr>
        <w:t>〕</w:t>
      </w:r>
      <w:r>
        <w:rPr>
          <w:rFonts w:hint="eastAsia" w:ascii="仿宋" w:hAnsi="仿宋" w:eastAsia="仿宋" w:cs="仿宋"/>
          <w:b w:val="0"/>
          <w:bCs w:val="0"/>
          <w:sz w:val="32"/>
          <w:szCs w:val="32"/>
          <w:lang w:val="en-US" w:eastAsia="zh-CN"/>
        </w:rPr>
        <w:t>1</w:t>
      </w:r>
      <w:r>
        <w:rPr>
          <w:rFonts w:hint="eastAsia" w:ascii="仿宋" w:hAnsi="仿宋" w:eastAsia="仿宋" w:cs="仿宋"/>
          <w:sz w:val="32"/>
          <w:szCs w:val="32"/>
        </w:rPr>
        <w:t>号</w:t>
      </w:r>
    </w:p>
    <w:p>
      <w:pPr>
        <w:spacing w:line="650" w:lineRule="exact"/>
        <w:rPr>
          <w:rFonts w:ascii="黑体" w:hAnsi="黑体" w:eastAsia="黑体"/>
          <w:sz w:val="32"/>
          <w:szCs w:val="32"/>
        </w:rPr>
      </w:pPr>
    </w:p>
    <w:p>
      <w:pPr>
        <w:pStyle w:val="2"/>
        <w:spacing w:line="600" w:lineRule="exact"/>
        <w:ind w:left="0" w:leftChars="0"/>
        <w:rPr>
          <w:rFonts w:hint="eastAsia" w:ascii="仿宋" w:hAnsi="仿宋" w:eastAsia="仿宋" w:cs="仿宋"/>
          <w:b/>
          <w:bCs/>
          <w:sz w:val="32"/>
          <w:szCs w:val="32"/>
        </w:rPr>
      </w:pPr>
      <w:r>
        <w:rPr>
          <w:rFonts w:hint="eastAsia" w:ascii="仿宋" w:hAnsi="仿宋" w:eastAsia="仿宋" w:cs="仿宋"/>
          <w:b/>
          <w:bCs/>
          <w:sz w:val="32"/>
          <w:szCs w:val="32"/>
        </w:rPr>
        <w:t>各</w:t>
      </w:r>
      <w:r>
        <w:rPr>
          <w:rFonts w:hint="eastAsia" w:ascii="仿宋" w:hAnsi="仿宋" w:eastAsia="仿宋" w:cs="仿宋"/>
          <w:b/>
          <w:bCs/>
          <w:sz w:val="32"/>
          <w:szCs w:val="32"/>
          <w:lang w:eastAsia="zh-CN"/>
        </w:rPr>
        <w:t>村、各站所</w:t>
      </w:r>
      <w:r>
        <w:rPr>
          <w:rFonts w:hint="eastAsia" w:ascii="仿宋" w:hAnsi="仿宋" w:eastAsia="仿宋" w:cs="仿宋"/>
          <w:b/>
          <w:bCs/>
          <w:sz w:val="32"/>
          <w:szCs w:val="32"/>
        </w:rPr>
        <w:t>：</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为了认真落实岁末年初全国安全防范工作紧急视频会议及12月16日、12月21日省、市安全生产工作电视电话会议和我县安全生产工作会议精神，深刻汲取孝义市非法盗采煤炭资源案件和各类事故教训，举一反三，扎实做好安全防范工作，坚决</w:t>
      </w:r>
      <w:r>
        <w:rPr>
          <w:rFonts w:hint="eastAsia" w:ascii="仿宋_GB2312" w:hAnsi="仿宋" w:eastAsia="仿宋_GB2312" w:cs="仿宋"/>
          <w:sz w:val="32"/>
        </w:rPr>
        <w:t>打击</w:t>
      </w:r>
      <w:r>
        <w:rPr>
          <w:rFonts w:hint="eastAsia" w:ascii="仿宋_GB2312" w:hAnsi="仿宋_GB2312" w:eastAsia="仿宋_GB2312" w:cs="仿宋_GB2312"/>
          <w:sz w:val="32"/>
          <w:shd w:val="clear" w:color="auto" w:fill="FFFFFF"/>
        </w:rPr>
        <w:t>违法盗采</w:t>
      </w:r>
      <w:r>
        <w:rPr>
          <w:rFonts w:hint="eastAsia" w:ascii="仿宋_GB2312" w:eastAsia="仿宋_GB2312"/>
          <w:sz w:val="32"/>
          <w:szCs w:val="32"/>
        </w:rPr>
        <w:t>矿产资源</w:t>
      </w:r>
      <w:r>
        <w:rPr>
          <w:rFonts w:hint="eastAsia" w:ascii="仿宋_GB2312" w:hAnsi="仿宋_GB2312" w:eastAsia="仿宋_GB2312" w:cs="仿宋_GB2312"/>
          <w:sz w:val="32"/>
          <w:shd w:val="clear" w:color="auto" w:fill="FFFFFF"/>
        </w:rPr>
        <w:t>行为，</w:t>
      </w:r>
      <w:r>
        <w:rPr>
          <w:rFonts w:hint="eastAsia" w:ascii="仿宋_GB2312" w:eastAsia="仿宋_GB2312"/>
          <w:sz w:val="32"/>
          <w:szCs w:val="32"/>
        </w:rPr>
        <w:t>严防各类生产安全事故发生。根据省安委会《关于印发全省安全生产领域风险隐患大排查大整治“百日攻坚”集中行动实施方案的通知》（</w:t>
      </w:r>
      <w:r>
        <w:rPr>
          <w:rFonts w:hint="eastAsia" w:ascii="仿宋_GB2312" w:hAnsi="仿宋_GB2312" w:eastAsia="仿宋_GB2312" w:cs="仿宋_GB2312"/>
          <w:sz w:val="32"/>
          <w:szCs w:val="32"/>
        </w:rPr>
        <w:t>晋安发〔</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13</w:t>
      </w:r>
      <w:r>
        <w:rPr>
          <w:rFonts w:hint="eastAsia" w:ascii="仿宋_GB2312" w:hAnsi="仿宋_GB2312" w:eastAsia="仿宋_GB2312" w:cs="仿宋_GB2312"/>
          <w:sz w:val="32"/>
          <w:szCs w:val="32"/>
        </w:rPr>
        <w:t>号</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市安委会《关于全市开展安全生产领域风险隐患大排查大整治“百日攻坚”集中行动的通知》（朔安发</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w:t>
      </w:r>
      <w:r>
        <w:rPr>
          <w:rFonts w:hint="eastAsia" w:ascii="仿宋_GB2312" w:eastAsia="仿宋_GB2312"/>
          <w:sz w:val="32"/>
          <w:szCs w:val="32"/>
        </w:rPr>
        <w:t>9号）要求</w:t>
      </w:r>
      <w:r>
        <w:rPr>
          <w:rFonts w:hint="eastAsia" w:ascii="仿宋_GB2312" w:eastAsia="仿宋_GB2312"/>
          <w:sz w:val="32"/>
          <w:szCs w:val="32"/>
          <w:lang w:eastAsia="zh-CN"/>
        </w:rPr>
        <w:t>和</w:t>
      </w:r>
      <w:r>
        <w:rPr>
          <w:rFonts w:hint="eastAsia" w:ascii="仿宋_GB2312" w:eastAsia="仿宋_GB2312"/>
          <w:sz w:val="32"/>
          <w:szCs w:val="32"/>
        </w:rPr>
        <w:t>县政府</w:t>
      </w:r>
      <w:r>
        <w:rPr>
          <w:rFonts w:hint="eastAsia" w:ascii="仿宋_GB2312" w:eastAsia="仿宋_GB2312"/>
          <w:sz w:val="32"/>
          <w:szCs w:val="32"/>
          <w:lang w:eastAsia="zh-CN"/>
        </w:rPr>
        <w:t>《</w:t>
      </w:r>
      <w:r>
        <w:rPr>
          <w:rFonts w:hint="eastAsia" w:ascii="仿宋_GB2312" w:hAnsi="Calibri" w:eastAsia="仿宋_GB2312" w:cs="Times New Roman"/>
          <w:sz w:val="32"/>
          <w:szCs w:val="32"/>
        </w:rPr>
        <w:t>关于开展全县安全生产领域风险隐患大排查大整治“百日攻坚”集中行动的通知</w:t>
      </w:r>
      <w:r>
        <w:rPr>
          <w:rFonts w:hint="eastAsia" w:ascii="仿宋_GB2312" w:eastAsia="仿宋_GB2312"/>
          <w:sz w:val="32"/>
          <w:szCs w:val="32"/>
          <w:lang w:eastAsia="zh-CN"/>
        </w:rPr>
        <w:t>》（</w:t>
      </w:r>
      <w:r>
        <w:rPr>
          <w:rFonts w:hint="eastAsia" w:ascii="仿宋_GB2312" w:eastAsia="仿宋_GB2312"/>
          <w:sz w:val="32"/>
          <w:szCs w:val="32"/>
        </w:rPr>
        <w:t>山安发[2021]4号</w:t>
      </w:r>
      <w:r>
        <w:rPr>
          <w:rFonts w:hint="eastAsia" w:ascii="仿宋_GB2312" w:eastAsia="仿宋_GB2312"/>
          <w:sz w:val="32"/>
          <w:szCs w:val="32"/>
          <w:lang w:eastAsia="zh-CN"/>
        </w:rPr>
        <w:t>）</w:t>
      </w:r>
      <w:r>
        <w:rPr>
          <w:rFonts w:hint="eastAsia" w:ascii="仿宋_GB2312" w:eastAsia="仿宋_GB2312"/>
          <w:sz w:val="32"/>
          <w:szCs w:val="32"/>
        </w:rPr>
        <w:t>，</w:t>
      </w:r>
      <w:r>
        <w:rPr>
          <w:rFonts w:hint="eastAsia" w:ascii="仿宋_GB2312" w:hAnsi="仿宋_GB2312" w:eastAsia="仿宋_GB2312" w:cs="仿宋_GB2312"/>
          <w:sz w:val="32"/>
          <w:szCs w:val="32"/>
        </w:rPr>
        <w:t>现就</w:t>
      </w:r>
      <w:r>
        <w:rPr>
          <w:rFonts w:hint="eastAsia" w:ascii="仿宋_GB2312" w:hAnsi="仿宋_GB2312" w:eastAsia="仿宋_GB2312" w:cs="仿宋_GB2312"/>
          <w:bCs/>
          <w:sz w:val="32"/>
          <w:szCs w:val="32"/>
        </w:rPr>
        <w:t>有关</w:t>
      </w:r>
      <w:r>
        <w:rPr>
          <w:rFonts w:hint="eastAsia" w:ascii="仿宋_GB2312" w:hAnsi="仿宋_GB2312" w:eastAsia="仿宋_GB2312" w:cs="仿宋_GB2312"/>
          <w:sz w:val="32"/>
          <w:szCs w:val="32"/>
        </w:rPr>
        <w:t>事项通知如下：</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一、指导思想和工作目标</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以习近平新时代中国特色社会主义思想为指导，全面贯彻党的十九大和十九届六中全会精神，坚决执行党中央、国务院和省委省政府、市委市政府、县委县政府领导同志关于落实安全生产责任和措施、强化重点行业领域安全隐患排查治理重要批示精神，</w:t>
      </w:r>
      <w:r>
        <w:rPr>
          <w:rFonts w:hint="eastAsia" w:ascii="仿宋_GB2312" w:eastAsia="仿宋_GB2312"/>
          <w:sz w:val="32"/>
          <w:szCs w:val="32"/>
          <w:lang w:eastAsia="zh-CN"/>
        </w:rPr>
        <w:t>我乡</w:t>
      </w:r>
      <w:r>
        <w:rPr>
          <w:rFonts w:hint="eastAsia" w:ascii="仿宋_GB2312" w:eastAsia="仿宋_GB2312"/>
          <w:sz w:val="32"/>
          <w:szCs w:val="32"/>
        </w:rPr>
        <w:t>落实党政同责、一岗双责、“三管三必须”，加强组织领导，持续深化专项整治三年行动集中攻坚，全面开展地毯式、拉网式、滚动式风险隐患大排查大整治“百日攻坚”集中行动，严厉打击各类非法违法生产经营建设活动，坚决治理纠正违规违章行为，排查整治重大风险隐患，严查失职渎职，严肃追责问责，有效防范和坚决遏制各类生产安全事故，切实维护人民群众生命财产安全，为打造灵秀古城、建设新韵山阴、“两节”“两会”安全稳定和冬奥会、冬残奥会顺利举办营造安全稳定的社会环境，以优异成绩迎接党的二十大胜利召开。</w:t>
      </w:r>
    </w:p>
    <w:p>
      <w:pPr>
        <w:spacing w:line="600" w:lineRule="exact"/>
        <w:ind w:firstLine="640" w:firstLineChars="200"/>
        <w:rPr>
          <w:rFonts w:hint="eastAsia" w:ascii="黑体" w:hAnsi="方正黑体_GBK" w:eastAsia="黑体" w:cs="方正黑体_GBK"/>
          <w:sz w:val="32"/>
          <w:szCs w:val="32"/>
        </w:rPr>
      </w:pPr>
      <w:r>
        <w:rPr>
          <w:rFonts w:hint="eastAsia" w:ascii="黑体" w:hAnsi="方正黑体_GBK" w:eastAsia="黑体" w:cs="方正黑体_GBK"/>
          <w:sz w:val="32"/>
          <w:szCs w:val="32"/>
        </w:rPr>
        <w:t>二、强化组织领导</w:t>
      </w:r>
    </w:p>
    <w:p>
      <w:pPr>
        <w:spacing w:line="600" w:lineRule="exact"/>
        <w:ind w:firstLine="642" w:firstLineChars="200"/>
        <w:rPr>
          <w:rFonts w:hint="eastAsia" w:ascii="楷体_GB2312" w:hAnsi="方正楷体_GBK" w:eastAsia="楷体_GB2312" w:cs="方正楷体_GBK"/>
          <w:b/>
          <w:bCs/>
          <w:sz w:val="32"/>
          <w:szCs w:val="32"/>
        </w:rPr>
      </w:pPr>
      <w:r>
        <w:rPr>
          <w:rFonts w:hint="eastAsia" w:ascii="楷体_GB2312" w:hAnsi="方正楷体_GBK" w:eastAsia="楷体_GB2312" w:cs="方正楷体_GBK"/>
          <w:b/>
          <w:bCs/>
          <w:sz w:val="32"/>
          <w:szCs w:val="32"/>
        </w:rPr>
        <w:t>成立</w:t>
      </w:r>
      <w:r>
        <w:rPr>
          <w:rFonts w:hint="eastAsia" w:ascii="楷体_GB2312" w:hAnsi="方正楷体_GBK" w:eastAsia="楷体_GB2312" w:cs="方正楷体_GBK"/>
          <w:b/>
          <w:bCs/>
          <w:sz w:val="32"/>
          <w:szCs w:val="32"/>
          <w:lang w:eastAsia="zh-CN"/>
        </w:rPr>
        <w:t>薛圐圙</w:t>
      </w:r>
      <w:r>
        <w:rPr>
          <w:rFonts w:hint="eastAsia" w:ascii="楷体_GB2312" w:hAnsi="方正楷体_GBK" w:eastAsia="楷体_GB2312" w:cs="方正楷体_GBK"/>
          <w:b/>
          <w:bCs/>
          <w:sz w:val="32"/>
          <w:szCs w:val="32"/>
        </w:rPr>
        <w:t>“百日攻坚”集中行动领导组</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组长由</w:t>
      </w:r>
      <w:r>
        <w:rPr>
          <w:rFonts w:hint="eastAsia" w:ascii="仿宋_GB2312" w:eastAsia="仿宋_GB2312"/>
          <w:sz w:val="32"/>
          <w:szCs w:val="32"/>
          <w:lang w:eastAsia="zh-CN"/>
        </w:rPr>
        <w:t>乡党委书记李峰</w:t>
      </w:r>
      <w:r>
        <w:rPr>
          <w:rFonts w:hint="eastAsia" w:ascii="仿宋_GB2312" w:eastAsia="仿宋_GB2312"/>
          <w:sz w:val="32"/>
          <w:szCs w:val="32"/>
        </w:rPr>
        <w:t>、</w:t>
      </w:r>
      <w:r>
        <w:rPr>
          <w:rFonts w:hint="eastAsia" w:ascii="仿宋_GB2312" w:eastAsia="仿宋_GB2312"/>
          <w:sz w:val="32"/>
          <w:szCs w:val="32"/>
          <w:lang w:eastAsia="zh-CN"/>
        </w:rPr>
        <w:t>乡</w:t>
      </w:r>
      <w:r>
        <w:rPr>
          <w:rFonts w:hint="eastAsia" w:ascii="仿宋_GB2312" w:eastAsia="仿宋_GB2312"/>
          <w:sz w:val="32"/>
          <w:szCs w:val="32"/>
        </w:rPr>
        <w:t>副书记、</w:t>
      </w:r>
      <w:r>
        <w:rPr>
          <w:rFonts w:hint="eastAsia" w:ascii="仿宋_GB2312" w:eastAsia="仿宋_GB2312"/>
          <w:sz w:val="32"/>
          <w:szCs w:val="32"/>
          <w:lang w:eastAsia="zh-CN"/>
        </w:rPr>
        <w:t>乡长梅丽红</w:t>
      </w:r>
      <w:r>
        <w:rPr>
          <w:rFonts w:hint="eastAsia" w:ascii="仿宋_GB2312" w:eastAsia="仿宋_GB2312"/>
          <w:sz w:val="32"/>
          <w:szCs w:val="32"/>
        </w:rPr>
        <w:t>同志担任。</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常务副组长由</w:t>
      </w:r>
      <w:r>
        <w:rPr>
          <w:rFonts w:hint="eastAsia" w:ascii="仿宋_GB2312" w:eastAsia="仿宋_GB2312"/>
          <w:sz w:val="32"/>
          <w:szCs w:val="32"/>
          <w:lang w:eastAsia="zh-CN"/>
        </w:rPr>
        <w:t>副乡长路世明同</w:t>
      </w:r>
      <w:r>
        <w:rPr>
          <w:rFonts w:hint="eastAsia" w:ascii="仿宋_GB2312" w:eastAsia="仿宋_GB2312"/>
          <w:sz w:val="32"/>
          <w:szCs w:val="32"/>
        </w:rPr>
        <w:t>志担任，副组长由</w:t>
      </w:r>
      <w:r>
        <w:rPr>
          <w:rFonts w:hint="eastAsia" w:ascii="仿宋_GB2312" w:eastAsia="仿宋_GB2312"/>
          <w:sz w:val="32"/>
          <w:szCs w:val="32"/>
          <w:lang w:val="en-US" w:eastAsia="zh-CN"/>
        </w:rPr>
        <w:t>其他班子成员</w:t>
      </w:r>
      <w:r>
        <w:rPr>
          <w:rFonts w:hint="eastAsia" w:ascii="仿宋_GB2312" w:eastAsia="仿宋_GB2312"/>
          <w:sz w:val="32"/>
          <w:szCs w:val="32"/>
        </w:rPr>
        <w:t>担任。</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成员由</w:t>
      </w:r>
      <w:r>
        <w:rPr>
          <w:rFonts w:hint="eastAsia" w:ascii="仿宋_GB2312" w:eastAsia="仿宋_GB2312"/>
          <w:sz w:val="32"/>
          <w:szCs w:val="32"/>
          <w:lang w:eastAsia="zh-CN"/>
        </w:rPr>
        <w:t>林业站</w:t>
      </w:r>
      <w:r>
        <w:rPr>
          <w:rFonts w:hint="eastAsia" w:ascii="仿宋_GB2312" w:eastAsia="仿宋_GB2312"/>
          <w:sz w:val="32"/>
          <w:szCs w:val="32"/>
        </w:rPr>
        <w:t>、</w:t>
      </w:r>
      <w:r>
        <w:rPr>
          <w:rFonts w:hint="eastAsia" w:ascii="仿宋_GB2312" w:eastAsia="仿宋_GB2312"/>
          <w:sz w:val="32"/>
          <w:szCs w:val="32"/>
          <w:lang w:eastAsia="zh-CN"/>
        </w:rPr>
        <w:t>计生办</w:t>
      </w:r>
      <w:r>
        <w:rPr>
          <w:rFonts w:hint="eastAsia" w:ascii="仿宋_GB2312" w:eastAsia="仿宋_GB2312"/>
          <w:sz w:val="32"/>
          <w:szCs w:val="32"/>
        </w:rPr>
        <w:t>、</w:t>
      </w:r>
      <w:r>
        <w:rPr>
          <w:rFonts w:hint="eastAsia" w:ascii="仿宋_GB2312" w:eastAsia="仿宋_GB2312"/>
          <w:sz w:val="32"/>
          <w:szCs w:val="32"/>
          <w:lang w:eastAsia="zh-CN"/>
        </w:rPr>
        <w:t>党政办公室</w:t>
      </w:r>
      <w:r>
        <w:rPr>
          <w:rFonts w:hint="eastAsia" w:ascii="仿宋_GB2312" w:eastAsia="仿宋_GB2312"/>
          <w:sz w:val="32"/>
          <w:szCs w:val="32"/>
        </w:rPr>
        <w:t>、</w:t>
      </w:r>
      <w:r>
        <w:rPr>
          <w:rFonts w:hint="eastAsia" w:ascii="仿宋_GB2312" w:eastAsia="仿宋_GB2312"/>
          <w:sz w:val="32"/>
          <w:szCs w:val="32"/>
          <w:lang w:eastAsia="zh-CN"/>
        </w:rPr>
        <w:t>派出所</w:t>
      </w:r>
      <w:r>
        <w:rPr>
          <w:rFonts w:hint="eastAsia" w:ascii="仿宋_GB2312" w:eastAsia="仿宋_GB2312"/>
          <w:sz w:val="32"/>
          <w:szCs w:val="32"/>
        </w:rPr>
        <w:t>、</w:t>
      </w:r>
      <w:r>
        <w:rPr>
          <w:rFonts w:hint="eastAsia" w:ascii="仿宋_GB2312" w:eastAsia="仿宋_GB2312"/>
          <w:sz w:val="32"/>
          <w:szCs w:val="32"/>
          <w:lang w:eastAsia="zh-CN"/>
        </w:rPr>
        <w:t>文化站</w:t>
      </w:r>
      <w:r>
        <w:rPr>
          <w:rFonts w:hint="eastAsia" w:ascii="仿宋_GB2312" w:eastAsia="仿宋_GB2312"/>
          <w:sz w:val="32"/>
          <w:szCs w:val="32"/>
        </w:rPr>
        <w:t>、</w:t>
      </w:r>
      <w:r>
        <w:rPr>
          <w:rFonts w:hint="eastAsia" w:ascii="仿宋_GB2312" w:eastAsia="仿宋_GB2312"/>
          <w:sz w:val="32"/>
          <w:szCs w:val="32"/>
          <w:lang w:eastAsia="zh-CN"/>
        </w:rPr>
        <w:t>民政站</w:t>
      </w:r>
      <w:r>
        <w:rPr>
          <w:rFonts w:hint="eastAsia" w:ascii="仿宋_GB2312" w:eastAsia="仿宋_GB2312"/>
          <w:sz w:val="32"/>
          <w:szCs w:val="32"/>
        </w:rPr>
        <w:t>、</w:t>
      </w:r>
      <w:r>
        <w:rPr>
          <w:rFonts w:hint="eastAsia" w:ascii="仿宋_GB2312" w:eastAsia="仿宋_GB2312"/>
          <w:sz w:val="32"/>
          <w:szCs w:val="32"/>
          <w:lang w:eastAsia="zh-CN"/>
        </w:rPr>
        <w:t>国土所</w:t>
      </w:r>
      <w:r>
        <w:rPr>
          <w:rFonts w:hint="eastAsia" w:ascii="仿宋_GB2312" w:eastAsia="仿宋_GB2312"/>
          <w:sz w:val="32"/>
          <w:szCs w:val="32"/>
        </w:rPr>
        <w:t>、</w:t>
      </w:r>
      <w:r>
        <w:rPr>
          <w:rFonts w:hint="eastAsia" w:ascii="仿宋_GB2312" w:eastAsia="仿宋_GB2312"/>
          <w:sz w:val="32"/>
          <w:szCs w:val="32"/>
          <w:lang w:eastAsia="zh-CN"/>
        </w:rPr>
        <w:t>供电所</w:t>
      </w:r>
      <w:r>
        <w:rPr>
          <w:rFonts w:hint="eastAsia" w:ascii="仿宋_GB2312" w:eastAsia="仿宋_GB2312"/>
          <w:sz w:val="32"/>
          <w:szCs w:val="32"/>
        </w:rPr>
        <w:t>、</w:t>
      </w:r>
      <w:r>
        <w:rPr>
          <w:rFonts w:hint="eastAsia" w:ascii="仿宋_GB2312" w:eastAsia="仿宋_GB2312"/>
          <w:sz w:val="32"/>
          <w:szCs w:val="32"/>
          <w:lang w:eastAsia="zh-CN"/>
        </w:rPr>
        <w:t>乡退伍军人事务所</w:t>
      </w:r>
      <w:r>
        <w:rPr>
          <w:rFonts w:hint="eastAsia" w:ascii="仿宋_GB2312" w:eastAsia="仿宋_GB2312"/>
          <w:sz w:val="32"/>
          <w:szCs w:val="32"/>
        </w:rPr>
        <w:t>、</w:t>
      </w:r>
      <w:r>
        <w:rPr>
          <w:rFonts w:hint="eastAsia" w:ascii="仿宋_GB2312" w:eastAsia="仿宋_GB2312"/>
          <w:sz w:val="32"/>
          <w:szCs w:val="32"/>
          <w:lang w:eastAsia="zh-CN"/>
        </w:rPr>
        <w:t>便民服务中心</w:t>
      </w:r>
      <w:r>
        <w:rPr>
          <w:rFonts w:hint="eastAsia" w:ascii="仿宋_GB2312" w:eastAsia="仿宋_GB2312"/>
          <w:sz w:val="32"/>
          <w:szCs w:val="32"/>
        </w:rPr>
        <w:t>、</w:t>
      </w:r>
      <w:r>
        <w:rPr>
          <w:rFonts w:hint="eastAsia" w:ascii="仿宋_GB2312" w:eastAsia="仿宋_GB2312"/>
          <w:sz w:val="32"/>
          <w:szCs w:val="32"/>
          <w:lang w:eastAsia="zh-CN"/>
        </w:rPr>
        <w:t>安监站</w:t>
      </w:r>
      <w:r>
        <w:rPr>
          <w:rFonts w:hint="eastAsia" w:ascii="仿宋_GB2312" w:eastAsia="仿宋_GB2312"/>
          <w:sz w:val="32"/>
          <w:szCs w:val="32"/>
        </w:rPr>
        <w:t>、</w:t>
      </w:r>
      <w:r>
        <w:rPr>
          <w:rFonts w:hint="eastAsia" w:ascii="仿宋_GB2312" w:eastAsia="仿宋_GB2312"/>
          <w:sz w:val="32"/>
          <w:szCs w:val="32"/>
          <w:lang w:eastAsia="zh-CN"/>
        </w:rPr>
        <w:t>交警队</w:t>
      </w:r>
      <w:r>
        <w:rPr>
          <w:rFonts w:hint="eastAsia" w:ascii="仿宋_GB2312" w:eastAsia="仿宋_GB2312"/>
          <w:sz w:val="32"/>
          <w:szCs w:val="32"/>
        </w:rPr>
        <w:t>等单位主要负责人</w:t>
      </w:r>
      <w:r>
        <w:rPr>
          <w:rFonts w:hint="eastAsia" w:ascii="仿宋_GB2312" w:eastAsia="仿宋_GB2312"/>
          <w:sz w:val="32"/>
          <w:szCs w:val="32"/>
          <w:lang w:eastAsia="zh-CN"/>
        </w:rPr>
        <w:t>、各村支书主任、网格员</w:t>
      </w:r>
      <w:r>
        <w:rPr>
          <w:rFonts w:hint="eastAsia" w:ascii="仿宋_GB2312" w:eastAsia="仿宋_GB2312"/>
          <w:sz w:val="32"/>
          <w:szCs w:val="32"/>
        </w:rPr>
        <w:t>组成。</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“百日攻坚”集中行动领导组办公室（以下简称“百日攻坚”办公室）设在</w:t>
      </w:r>
      <w:r>
        <w:rPr>
          <w:rFonts w:hint="eastAsia" w:ascii="仿宋_GB2312" w:eastAsia="仿宋_GB2312"/>
          <w:sz w:val="32"/>
          <w:szCs w:val="32"/>
          <w:lang w:eastAsia="zh-CN"/>
        </w:rPr>
        <w:t>乡党政办公室</w:t>
      </w:r>
      <w:r>
        <w:rPr>
          <w:rFonts w:hint="eastAsia" w:ascii="仿宋_GB2312" w:eastAsia="仿宋_GB2312"/>
          <w:sz w:val="32"/>
          <w:szCs w:val="32"/>
        </w:rPr>
        <w:t>，办公室主任由</w:t>
      </w:r>
      <w:r>
        <w:rPr>
          <w:rFonts w:hint="eastAsia" w:ascii="仿宋_GB2312" w:eastAsia="仿宋_GB2312"/>
          <w:sz w:val="32"/>
          <w:szCs w:val="32"/>
          <w:lang w:eastAsia="zh-CN"/>
        </w:rPr>
        <w:t>乡</w:t>
      </w:r>
      <w:r>
        <w:rPr>
          <w:rFonts w:hint="eastAsia" w:ascii="仿宋_GB2312" w:eastAsia="仿宋_GB2312"/>
          <w:sz w:val="32"/>
          <w:szCs w:val="32"/>
        </w:rPr>
        <w:t>政府办主任</w:t>
      </w:r>
      <w:r>
        <w:rPr>
          <w:rFonts w:hint="eastAsia" w:ascii="仿宋_GB2312" w:eastAsia="仿宋_GB2312"/>
          <w:sz w:val="32"/>
          <w:szCs w:val="32"/>
          <w:lang w:val="en-US" w:eastAsia="zh-CN"/>
        </w:rPr>
        <w:t>王瑜瑶</w:t>
      </w:r>
      <w:r>
        <w:rPr>
          <w:rFonts w:hint="eastAsia" w:ascii="仿宋_GB2312" w:eastAsia="仿宋_GB2312"/>
          <w:sz w:val="32"/>
          <w:szCs w:val="32"/>
        </w:rPr>
        <w:t>同志担任，负责“百日攻坚”集中行动统筹协调等工作。</w:t>
      </w:r>
    </w:p>
    <w:p>
      <w:pPr>
        <w:spacing w:line="600" w:lineRule="exact"/>
        <w:ind w:firstLine="640" w:firstLineChars="200"/>
      </w:pPr>
      <w:r>
        <w:rPr>
          <w:rFonts w:hint="eastAsia" w:ascii="仿宋_GB2312" w:eastAsia="仿宋_GB2312"/>
          <w:sz w:val="32"/>
          <w:szCs w:val="32"/>
        </w:rPr>
        <w:t>“百日攻坚”办公室要从各相关部门抽调人员组成工作专班，集中办公，实体化运行，强化统筹协调，推动“百日攻坚”集中行动扎实开展。</w:t>
      </w:r>
    </w:p>
    <w:p>
      <w:pPr>
        <w:spacing w:line="600" w:lineRule="exact"/>
        <w:ind w:firstLine="640" w:firstLineChars="200"/>
        <w:rPr>
          <w:rFonts w:hint="eastAsia" w:ascii="黑体" w:hAnsi="方正黑体_GBK" w:eastAsia="黑体" w:cs="方正黑体_GBK"/>
          <w:sz w:val="32"/>
          <w:szCs w:val="32"/>
        </w:rPr>
      </w:pPr>
      <w:r>
        <w:rPr>
          <w:rFonts w:hint="eastAsia" w:ascii="黑体" w:hAnsi="方正黑体_GBK" w:eastAsia="黑体" w:cs="方正黑体_GBK"/>
          <w:sz w:val="32"/>
          <w:szCs w:val="32"/>
        </w:rPr>
        <w:t>三、时间和范围</w:t>
      </w:r>
    </w:p>
    <w:p>
      <w:pPr>
        <w:spacing w:line="600" w:lineRule="exact"/>
        <w:ind w:firstLine="642" w:firstLineChars="200"/>
        <w:rPr>
          <w:rFonts w:hint="eastAsia" w:ascii="楷体_GB2312" w:hAnsi="方正楷体_GBK" w:eastAsia="楷体_GB2312" w:cs="方正楷体_GBK"/>
          <w:bCs/>
          <w:sz w:val="32"/>
          <w:szCs w:val="32"/>
        </w:rPr>
      </w:pPr>
      <w:r>
        <w:rPr>
          <w:rFonts w:hint="eastAsia" w:ascii="楷体_GB2312" w:hAnsi="方正楷体_GBK" w:eastAsia="楷体_GB2312" w:cs="方正楷体_GBK"/>
          <w:b/>
          <w:bCs/>
          <w:sz w:val="32"/>
          <w:szCs w:val="32"/>
          <w:lang w:eastAsia="zh-CN"/>
        </w:rPr>
        <w:t>（</w:t>
      </w:r>
      <w:r>
        <w:rPr>
          <w:rFonts w:hint="eastAsia" w:ascii="楷体_GB2312" w:hAnsi="方正楷体_GBK" w:eastAsia="楷体_GB2312" w:cs="方正楷体_GBK"/>
          <w:b/>
          <w:bCs/>
          <w:sz w:val="32"/>
          <w:szCs w:val="32"/>
          <w:lang w:val="en-US" w:eastAsia="zh-CN"/>
        </w:rPr>
        <w:t>一</w:t>
      </w:r>
      <w:r>
        <w:rPr>
          <w:rFonts w:hint="eastAsia" w:ascii="楷体_GB2312" w:hAnsi="方正楷体_GBK" w:eastAsia="楷体_GB2312" w:cs="方正楷体_GBK"/>
          <w:b/>
          <w:bCs/>
          <w:sz w:val="32"/>
          <w:szCs w:val="32"/>
          <w:lang w:eastAsia="zh-CN"/>
        </w:rPr>
        <w:t>）</w:t>
      </w:r>
      <w:r>
        <w:rPr>
          <w:rFonts w:hint="eastAsia" w:ascii="楷体_GB2312" w:hAnsi="方正黑体_GBK" w:eastAsia="楷体_GB2312" w:cs="方正黑体_GBK"/>
          <w:b/>
          <w:sz w:val="32"/>
          <w:szCs w:val="32"/>
        </w:rPr>
        <w:t>时间要求。</w:t>
      </w:r>
      <w:r>
        <w:rPr>
          <w:rFonts w:hint="eastAsia" w:ascii="仿宋_GB2312" w:eastAsia="仿宋_GB2312"/>
          <w:sz w:val="32"/>
          <w:szCs w:val="32"/>
        </w:rPr>
        <w:t>从即日起至2022年3月底结束。</w:t>
      </w:r>
    </w:p>
    <w:p>
      <w:pPr>
        <w:spacing w:line="600" w:lineRule="exact"/>
        <w:ind w:firstLine="642" w:firstLineChars="200"/>
        <w:rPr>
          <w:rFonts w:hint="eastAsia" w:ascii="仿宋_GB2312" w:eastAsia="仿宋_GB2312"/>
          <w:sz w:val="32"/>
          <w:szCs w:val="32"/>
        </w:rPr>
      </w:pPr>
      <w:r>
        <w:rPr>
          <w:rFonts w:hint="eastAsia" w:ascii="楷体_GB2312" w:hAnsi="方正楷体_GBK" w:eastAsia="楷体_GB2312" w:cs="方正楷体_GBK"/>
          <w:b/>
          <w:bCs/>
          <w:sz w:val="32"/>
          <w:szCs w:val="32"/>
        </w:rPr>
        <w:t>（二）</w:t>
      </w:r>
      <w:r>
        <w:rPr>
          <w:rFonts w:hint="eastAsia" w:ascii="楷体_GB2312" w:hAnsi="方正黑体_GBK" w:eastAsia="楷体_GB2312" w:cs="方正黑体_GBK"/>
          <w:b/>
          <w:sz w:val="32"/>
          <w:szCs w:val="32"/>
        </w:rPr>
        <w:t>重点范围。</w:t>
      </w:r>
      <w:r>
        <w:rPr>
          <w:rFonts w:hint="eastAsia" w:ascii="仿宋_GB2312" w:eastAsia="仿宋_GB2312"/>
          <w:sz w:val="32"/>
          <w:szCs w:val="32"/>
        </w:rPr>
        <w:t>突出以危险化学品、道路运输、建设施工、民爆物品、文化旅游、危废处置、特种设备、金属冶炼、消防安全、森林防火等高危行业领域为重点，采取更加严厉、更加有效的措施，集中进行打击和整治。其他行业领域要结合实际开展安全风险隐患大排查大整治集中行动。</w:t>
      </w:r>
    </w:p>
    <w:p>
      <w:pPr>
        <w:spacing w:line="600" w:lineRule="exact"/>
        <w:ind w:firstLine="640" w:firstLineChars="200"/>
        <w:rPr>
          <w:rFonts w:hint="eastAsia" w:ascii="黑体" w:hAnsi="方正黑体_GBK" w:eastAsia="黑体" w:cs="方正黑体_GBK"/>
          <w:sz w:val="32"/>
          <w:szCs w:val="32"/>
        </w:rPr>
      </w:pPr>
      <w:r>
        <w:rPr>
          <w:rFonts w:hint="eastAsia" w:ascii="黑体" w:hAnsi="方正黑体_GBK" w:eastAsia="黑体" w:cs="方正黑体_GBK"/>
          <w:sz w:val="32"/>
          <w:szCs w:val="32"/>
        </w:rPr>
        <w:t>四、打击整治重点</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在结合《山阴县安全生产委员会办公室关于做好岁末年初安全生产风险隐患排查治理专项行动工作的通知》</w:t>
      </w:r>
      <w:r>
        <w:rPr>
          <w:rFonts w:hint="eastAsia" w:ascii="仿宋" w:hAnsi="仿宋" w:eastAsia="仿宋" w:cs="仿宋"/>
          <w:sz w:val="32"/>
          <w:szCs w:val="32"/>
        </w:rPr>
        <w:t>（山安办发[2021]45号）</w:t>
      </w:r>
      <w:r>
        <w:rPr>
          <w:rFonts w:hint="eastAsia" w:ascii="仿宋_GB2312" w:eastAsia="仿宋_GB2312"/>
          <w:sz w:val="32"/>
          <w:szCs w:val="32"/>
        </w:rPr>
        <w:t>重点任务基础上，突出以下</w:t>
      </w:r>
      <w:r>
        <w:rPr>
          <w:rFonts w:hint="eastAsia" w:ascii="仿宋_GB2312" w:hAnsi="方正黑体_GBK" w:eastAsia="仿宋_GB2312" w:cs="方正黑体_GBK"/>
          <w:sz w:val="32"/>
          <w:szCs w:val="32"/>
        </w:rPr>
        <w:t>打击整治</w:t>
      </w:r>
      <w:r>
        <w:rPr>
          <w:rFonts w:hint="eastAsia" w:ascii="仿宋_GB2312" w:eastAsia="仿宋_GB2312"/>
          <w:sz w:val="32"/>
          <w:szCs w:val="32"/>
        </w:rPr>
        <w:t>重点：</w:t>
      </w:r>
    </w:p>
    <w:p>
      <w:pPr>
        <w:spacing w:line="60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（一）共性</w:t>
      </w:r>
      <w:r>
        <w:rPr>
          <w:rFonts w:ascii="楷体_GB2312" w:hAnsi="楷体_GB2312" w:eastAsia="楷体_GB2312" w:cs="楷体_GB2312"/>
          <w:b/>
          <w:bCs/>
          <w:sz w:val="32"/>
          <w:szCs w:val="32"/>
        </w:rPr>
        <w:t>内容</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1.严厉打击无证、证照不全或过期、超许可范围从事生产、经营、建设活动的行为；</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2.严厉打击新、改、扩建项目未经审查验收擅自组织建设或生产经营活动的行为；</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3.严厉打击停产停业整顿未经验收擅自组织生产行为；</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4.严厉打击非法转包、分包及资质挂靠的行为；</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5.严厉打击瞒报、谎报生产安全事故的行为；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6.严厉打击拒不执行安全监管监察指令、抗拒安全执法的行为；</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7.严肃整治相关单位为非法生产经营建设活动供电、供水、供气、供应火工品的行为；</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8.严肃整治违章指挥、违章作业和违反劳动纪律等“三违”行为；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9.严肃整治安全生产虚假培训、使用假证、无证上岗的行为；</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10.严肃整治未按要求开展安全风险辨识管控和隐患排查治理的行为；</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11.严肃整治重大隐患未依法落实“双报告”规定或未按规定期限整改的行为；</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12.严肃查处其他违反安全生产法律、法规、规章的生产经营建设行为。</w:t>
      </w:r>
    </w:p>
    <w:p>
      <w:pPr>
        <w:spacing w:line="600" w:lineRule="exact"/>
        <w:ind w:firstLine="642" w:firstLineChars="200"/>
        <w:rPr>
          <w:rFonts w:ascii="楷体_GB2312" w:hAnsi="楷体_GB2312" w:eastAsia="楷体_GB2312" w:cs="楷体_GB2312"/>
          <w:b/>
          <w:bCs/>
          <w:sz w:val="32"/>
          <w:szCs w:val="32"/>
        </w:rPr>
      </w:pPr>
      <w:r>
        <w:rPr>
          <w:rFonts w:ascii="楷体_GB2312" w:hAnsi="楷体_GB2312" w:eastAsia="楷体_GB2312" w:cs="楷体_GB2312"/>
          <w:b/>
          <w:bCs/>
          <w:sz w:val="32"/>
          <w:szCs w:val="32"/>
        </w:rPr>
        <w:t>（二）</w:t>
      </w:r>
      <w:r>
        <w:rPr>
          <w:rFonts w:hint="eastAsia" w:ascii="楷体_GB2312" w:hAnsi="楷体_GB2312" w:eastAsia="楷体_GB2312" w:cs="楷体_GB2312"/>
          <w:b/>
          <w:bCs/>
          <w:sz w:val="32"/>
          <w:szCs w:val="32"/>
        </w:rPr>
        <w:t>专项</w:t>
      </w:r>
      <w:r>
        <w:rPr>
          <w:rFonts w:ascii="楷体_GB2312" w:hAnsi="楷体_GB2312" w:eastAsia="楷体_GB2312" w:cs="楷体_GB2312"/>
          <w:b/>
          <w:bCs/>
          <w:sz w:val="32"/>
          <w:szCs w:val="32"/>
        </w:rPr>
        <w:t>内容</w:t>
      </w:r>
    </w:p>
    <w:p>
      <w:pPr>
        <w:spacing w:line="600" w:lineRule="exact"/>
        <w:ind w:firstLine="642" w:firstLineChars="200"/>
        <w:rPr>
          <w:rFonts w:hint="eastAsia" w:ascii="仿宋_GB2312" w:eastAsia="仿宋_GB2312"/>
          <w:sz w:val="32"/>
          <w:szCs w:val="32"/>
        </w:rPr>
      </w:pPr>
      <w:r>
        <w:rPr>
          <w:rFonts w:hint="eastAsia" w:ascii="仿宋_GB2312" w:eastAsia="仿宋_GB2312"/>
          <w:b/>
          <w:bCs/>
          <w:sz w:val="32"/>
          <w:szCs w:val="32"/>
        </w:rPr>
        <w:t>危险化学品：</w:t>
      </w:r>
      <w:r>
        <w:rPr>
          <w:rFonts w:hint="eastAsia" w:ascii="仿宋_GB2312" w:eastAsia="仿宋_GB2312"/>
          <w:sz w:val="32"/>
          <w:szCs w:val="32"/>
        </w:rPr>
        <w:t>按照《危险化学品安全生产专项整治三年行动实施方案》和集中攻坚年重点任务要求，及时查漏补缺，在“百日攻坚”集中行动结束时全面完成各项工作任务。全面排查整治非法小化工和出租场所非法建设化工设备。严防危险化学品企业特殊作业环节和“两重点一重大”安全风险，</w:t>
      </w:r>
      <w:r>
        <w:rPr>
          <w:rFonts w:hint="eastAsia" w:ascii="仿宋_GB2312" w:hAnsi="仿宋" w:eastAsia="仿宋_GB2312" w:cs="仿宋"/>
          <w:sz w:val="32"/>
          <w:szCs w:val="32"/>
        </w:rPr>
        <w:t>重点对硝酸铵、液氯、合成氨生产以及涉及硝化反应、构成重大危险源和即将淘汰关闭的化工企业等进行排查整治。</w:t>
      </w:r>
      <w:r>
        <w:rPr>
          <w:rFonts w:hint="eastAsia" w:ascii="仿宋_GB2312" w:eastAsia="仿宋_GB2312"/>
          <w:sz w:val="32"/>
          <w:szCs w:val="32"/>
        </w:rPr>
        <w:t>严厉打击非法生产、经营、储存、运输和燃放烟花爆竹各类行为。</w:t>
      </w:r>
    </w:p>
    <w:p>
      <w:pPr>
        <w:spacing w:line="600" w:lineRule="exact"/>
        <w:ind w:firstLine="642" w:firstLineChars="200"/>
        <w:rPr>
          <w:rFonts w:hint="eastAsia" w:ascii="仿宋_GB2312" w:hAnsi="仿宋" w:eastAsia="仿宋_GB2312" w:cs="仿宋"/>
          <w:sz w:val="32"/>
          <w:szCs w:val="32"/>
        </w:rPr>
      </w:pPr>
      <w:r>
        <w:rPr>
          <w:rFonts w:hint="eastAsia" w:ascii="仿宋_GB2312" w:eastAsia="仿宋_GB2312"/>
          <w:b/>
          <w:bCs/>
          <w:sz w:val="32"/>
          <w:szCs w:val="32"/>
        </w:rPr>
        <w:t>道路运输：</w:t>
      </w:r>
      <w:r>
        <w:rPr>
          <w:rFonts w:hint="eastAsia" w:ascii="仿宋_GB2312" w:eastAsia="仿宋_GB2312"/>
          <w:sz w:val="32"/>
          <w:szCs w:val="32"/>
        </w:rPr>
        <w:t>按照《道路运输安全专项整治三年行动实施方案》《交通运输安全专项整治三年行动实施方案》和集中攻坚年重点任务要求，及时查漏补缺，在“百日攻坚”集中行动结束时全面完成各项工作任务。以“两客一危一货”为重点，严厉打击非法运营、“三超一疲劳”。排查整治临水临崖、长大桥隧、长陡下坡、易积雪积冰路段风险隐患。保持农用机动车违法载人严管严查高压态势。</w:t>
      </w:r>
      <w:r>
        <w:rPr>
          <w:rFonts w:hint="eastAsia" w:ascii="仿宋_GB2312" w:hAnsi="仿宋" w:eastAsia="仿宋_GB2312" w:cs="仿宋"/>
          <w:sz w:val="32"/>
          <w:szCs w:val="32"/>
        </w:rPr>
        <w:t>重点对运输车辆非法载人、营运和私自改装，旅客随身携带违禁物品，电动营运汽车出车前性能检测，以及危化品运输车辆停靠及管控措施落实等进行排查治理。</w:t>
      </w:r>
    </w:p>
    <w:p>
      <w:pPr>
        <w:spacing w:line="600" w:lineRule="exact"/>
        <w:ind w:firstLine="642" w:firstLineChars="200"/>
        <w:rPr>
          <w:rFonts w:hint="eastAsia" w:ascii="仿宋_GB2312" w:eastAsia="仿宋_GB2312"/>
          <w:sz w:val="32"/>
          <w:szCs w:val="32"/>
        </w:rPr>
      </w:pPr>
      <w:r>
        <w:rPr>
          <w:rFonts w:hint="eastAsia" w:ascii="仿宋_GB2312" w:eastAsia="仿宋_GB2312"/>
          <w:b/>
          <w:bCs/>
          <w:sz w:val="32"/>
          <w:szCs w:val="32"/>
        </w:rPr>
        <w:t>建筑施工：</w:t>
      </w:r>
      <w:r>
        <w:rPr>
          <w:rFonts w:hint="eastAsia" w:ascii="仿宋_GB2312" w:eastAsia="仿宋_GB2312"/>
          <w:sz w:val="32"/>
          <w:szCs w:val="32"/>
        </w:rPr>
        <w:t>按照《城市建设安全专项整治三年行动实施方案》和集中攻坚年重点任务要求，及时查漏补缺，在“百日攻坚”集中行动结束时全面完成各项工作任务。严格落实“三管三必须”实施细则</w:t>
      </w:r>
      <w:r>
        <w:rPr>
          <w:rFonts w:hint="eastAsia" w:ascii="仿宋_GB2312" w:hAnsi="仿宋" w:eastAsia="仿宋_GB2312" w:cs="仿宋"/>
          <w:sz w:val="32"/>
          <w:szCs w:val="32"/>
        </w:rPr>
        <w:t>，</w:t>
      </w:r>
      <w:r>
        <w:rPr>
          <w:rFonts w:hint="eastAsia" w:ascii="仿宋_GB2312" w:eastAsia="仿宋_GB2312"/>
          <w:sz w:val="32"/>
          <w:szCs w:val="32"/>
        </w:rPr>
        <w:t>抓好各行业领域建设工程施工安全。严厉打击违法占地、违反工程规划许可、未办理手续擅自施工等违法违规建设行为以及</w:t>
      </w:r>
      <w:r>
        <w:rPr>
          <w:rFonts w:hint="eastAsia" w:ascii="仿宋_GB2312" w:hAnsi="仿宋_GB2312" w:eastAsia="仿宋_GB2312" w:cs="仿宋_GB2312"/>
          <w:sz w:val="32"/>
        </w:rPr>
        <w:t>违法转包、</w:t>
      </w:r>
      <w:r>
        <w:rPr>
          <w:rFonts w:hint="eastAsia" w:ascii="仿宋_GB2312" w:hAnsi="仿宋" w:eastAsia="仿宋_GB2312" w:cs="仿宋"/>
          <w:sz w:val="32"/>
          <w:szCs w:val="32"/>
        </w:rPr>
        <w:t>高空作业人员作业不戴安全带和高处抛物，建筑施工危大工程方案编审、交底、实施、验收等重点环节管控措施不落实，隧道施工超前地质预报和监控测量措施不落实等违法违规行为</w:t>
      </w:r>
      <w:r>
        <w:rPr>
          <w:rFonts w:hint="eastAsia" w:ascii="仿宋_GB2312" w:eastAsia="仿宋_GB2312"/>
          <w:sz w:val="32"/>
          <w:szCs w:val="32"/>
        </w:rPr>
        <w:t>。紧盯起重机械、深基坑、高支模、脚手架等危险性较大的分部分项工程，重点排查冬季施工防冻防滑措施落实不到位、消防设施配备不足等安全隐患。严格落实农村房屋建筑“四办法一标准”规定，确保安全。</w:t>
      </w:r>
    </w:p>
    <w:p>
      <w:pPr>
        <w:spacing w:line="600" w:lineRule="exact"/>
        <w:ind w:firstLine="642" w:firstLineChars="200"/>
        <w:rPr>
          <w:rFonts w:hint="eastAsia" w:ascii="仿宋_GB2312" w:eastAsia="仿宋_GB2312"/>
          <w:sz w:val="32"/>
          <w:szCs w:val="32"/>
        </w:rPr>
      </w:pPr>
      <w:r>
        <w:rPr>
          <w:rFonts w:hint="eastAsia" w:ascii="仿宋_GB2312" w:eastAsia="仿宋_GB2312"/>
          <w:b/>
          <w:bCs/>
          <w:sz w:val="32"/>
          <w:szCs w:val="32"/>
        </w:rPr>
        <w:t>城镇燃气：</w:t>
      </w:r>
      <w:r>
        <w:rPr>
          <w:rFonts w:hint="eastAsia" w:ascii="仿宋_GB2312" w:eastAsia="仿宋_GB2312"/>
          <w:sz w:val="32"/>
          <w:szCs w:val="32"/>
        </w:rPr>
        <w:t>严格按照《山西省燃气行业安全专项整治工作方案》《关于深入开展全省城镇燃气安全排查整治工作的通知》要求，全面排查整治学校、商场等公共场所，老旧小区、燃气工程、燃气管道设施以及燃气管网、入户管道、居民用气等安全风险隐患。部署落实餐饮行业安装燃气泄漏报警装置工作，</w:t>
      </w:r>
      <w:r>
        <w:rPr>
          <w:rFonts w:hint="eastAsia" w:ascii="仿宋_GB2312" w:hAnsi="仿宋" w:eastAsia="仿宋_GB2312" w:cs="仿宋"/>
          <w:sz w:val="32"/>
          <w:szCs w:val="32"/>
        </w:rPr>
        <w:t>排查整治老旧管道带病运行，</w:t>
      </w:r>
      <w:r>
        <w:rPr>
          <w:rFonts w:hint="eastAsia" w:ascii="仿宋_GB2312" w:eastAsia="仿宋_GB2312"/>
          <w:sz w:val="32"/>
          <w:szCs w:val="32"/>
        </w:rPr>
        <w:t>加快推进老旧燃气管网更新改造。</w:t>
      </w:r>
      <w:r>
        <w:rPr>
          <w:rFonts w:hint="eastAsia" w:ascii="仿宋_GB2312" w:hAnsi="仿宋" w:eastAsia="仿宋_GB2312" w:cs="仿宋"/>
          <w:sz w:val="32"/>
          <w:szCs w:val="32"/>
        </w:rPr>
        <w:t>重点对燃气管道被违规占压、穿越密闭空间，气瓶间不符合要求，使用不合格的“瓶灶管阀”，燃气场站设施安全间距不符合要求等进行排查整治。</w:t>
      </w:r>
    </w:p>
    <w:p>
      <w:pPr>
        <w:spacing w:line="600" w:lineRule="exact"/>
        <w:ind w:firstLine="642" w:firstLineChars="200"/>
        <w:rPr>
          <w:rFonts w:hint="eastAsia" w:ascii="仿宋_GB2312" w:eastAsia="仿宋_GB2312"/>
          <w:sz w:val="32"/>
          <w:szCs w:val="32"/>
        </w:rPr>
      </w:pPr>
      <w:r>
        <w:rPr>
          <w:rFonts w:ascii="仿宋_GB2312" w:eastAsia="仿宋_GB2312"/>
          <w:b/>
          <w:bCs/>
          <w:sz w:val="32"/>
          <w:szCs w:val="32"/>
        </w:rPr>
        <w:t>工地临时建筑：</w:t>
      </w:r>
      <w:r>
        <w:rPr>
          <w:rFonts w:ascii="仿宋_GB2312" w:eastAsia="仿宋_GB2312"/>
          <w:sz w:val="32"/>
          <w:szCs w:val="32"/>
        </w:rPr>
        <w:t>对工地内临时建筑私拉乱接电线等违规现象进行彻底整治。工人宿舍推广使用集中供热、区域供热、空气能取暖等安全取暖方式，一律使用36V低压供电，严禁违规使用大功率电器</w:t>
      </w:r>
      <w:r>
        <w:rPr>
          <w:rFonts w:hint="eastAsia" w:ascii="仿宋_GB2312" w:eastAsia="仿宋_GB2312"/>
          <w:sz w:val="32"/>
          <w:szCs w:val="32"/>
        </w:rPr>
        <w:t>。</w:t>
      </w:r>
      <w:r>
        <w:rPr>
          <w:rFonts w:ascii="仿宋_GB2312" w:eastAsia="仿宋_GB2312"/>
          <w:sz w:val="32"/>
          <w:szCs w:val="32"/>
        </w:rPr>
        <w:t>重点排查使用年限长、存在构件老化或损坏问题等结构安全存在隐患的临时建筑。拆除</w:t>
      </w:r>
      <w:r>
        <w:rPr>
          <w:rFonts w:hint="eastAsia" w:ascii="仿宋_GB2312" w:eastAsia="仿宋_GB2312"/>
          <w:sz w:val="32"/>
          <w:szCs w:val="32"/>
        </w:rPr>
        <w:t>使用燃烧性能低于A级要求的</w:t>
      </w:r>
      <w:r>
        <w:rPr>
          <w:rFonts w:ascii="仿宋_GB2312" w:eastAsia="仿宋_GB2312"/>
          <w:sz w:val="32"/>
          <w:szCs w:val="32"/>
        </w:rPr>
        <w:t>材料搭建</w:t>
      </w:r>
      <w:r>
        <w:rPr>
          <w:rFonts w:hint="eastAsia" w:ascii="仿宋_GB2312" w:eastAsia="仿宋_GB2312"/>
          <w:sz w:val="32"/>
          <w:szCs w:val="32"/>
        </w:rPr>
        <w:t>临时建筑。</w:t>
      </w:r>
      <w:r>
        <w:rPr>
          <w:rFonts w:ascii="仿宋_GB2312" w:eastAsia="仿宋_GB2312"/>
          <w:sz w:val="32"/>
          <w:szCs w:val="32"/>
        </w:rPr>
        <w:t>加强工地内临时建筑的消防安全管理</w:t>
      </w:r>
      <w:r>
        <w:rPr>
          <w:rFonts w:hint="eastAsia" w:ascii="仿宋_GB2312" w:eastAsia="仿宋_GB2312"/>
          <w:sz w:val="32"/>
          <w:szCs w:val="32"/>
        </w:rPr>
        <w:t>和</w:t>
      </w:r>
      <w:r>
        <w:rPr>
          <w:rFonts w:ascii="仿宋_GB2312" w:eastAsia="仿宋_GB2312"/>
          <w:sz w:val="32"/>
          <w:szCs w:val="32"/>
        </w:rPr>
        <w:t>务工人员消防安全教育，确保消防器材足额配备使用功能完备，确保临时建筑逃生通道畅通。</w:t>
      </w:r>
      <w:r>
        <w:rPr>
          <w:rFonts w:hint="eastAsia" w:ascii="仿宋_GB2312" w:eastAsia="仿宋_GB2312"/>
          <w:sz w:val="32"/>
          <w:szCs w:val="32"/>
        </w:rPr>
        <w:t>（县住建局牵头）</w:t>
      </w:r>
    </w:p>
    <w:p>
      <w:pPr>
        <w:spacing w:line="600" w:lineRule="exact"/>
        <w:ind w:firstLine="642" w:firstLineChars="200"/>
        <w:rPr>
          <w:rFonts w:hint="eastAsia" w:ascii="仿宋_GB2312" w:eastAsia="仿宋_GB2312"/>
          <w:sz w:val="32"/>
          <w:szCs w:val="32"/>
        </w:rPr>
      </w:pPr>
      <w:r>
        <w:rPr>
          <w:rFonts w:ascii="仿宋_GB2312" w:eastAsia="仿宋_GB2312"/>
          <w:b/>
          <w:bCs/>
          <w:sz w:val="32"/>
          <w:szCs w:val="32"/>
        </w:rPr>
        <w:t>民爆物品</w:t>
      </w:r>
      <w:r>
        <w:rPr>
          <w:rFonts w:hint="eastAsia" w:ascii="仿宋_GB2312" w:eastAsia="仿宋_GB2312"/>
          <w:b/>
          <w:bCs/>
          <w:sz w:val="32"/>
          <w:szCs w:val="32"/>
        </w:rPr>
        <w:t>：</w:t>
      </w:r>
      <w:r>
        <w:rPr>
          <w:rFonts w:hint="eastAsia" w:ascii="仿宋_GB2312" w:eastAsia="仿宋_GB2312"/>
          <w:sz w:val="32"/>
          <w:szCs w:val="32"/>
        </w:rPr>
        <w:t>加强民爆物品生产、销售、运输、储存、使用全过程安全管控，切实防范民爆物品流向非法违法生产经营建设单位。严厉打击超员、超量、超时、超产等“四超”行为。严格规范民爆物品库房安全保卫工作，严防民爆物品丢失及被盗。</w:t>
      </w:r>
    </w:p>
    <w:p>
      <w:pPr>
        <w:spacing w:line="600" w:lineRule="exact"/>
        <w:ind w:firstLine="642" w:firstLineChars="200"/>
        <w:rPr>
          <w:rFonts w:hint="eastAsia" w:ascii="仿宋_GB2312" w:eastAsia="仿宋_GB2312"/>
          <w:sz w:val="32"/>
          <w:szCs w:val="32"/>
        </w:rPr>
      </w:pPr>
      <w:r>
        <w:rPr>
          <w:rFonts w:hint="eastAsia" w:ascii="仿宋_GB2312" w:eastAsia="仿宋_GB2312"/>
          <w:b/>
          <w:bCs/>
          <w:sz w:val="32"/>
          <w:szCs w:val="32"/>
        </w:rPr>
        <w:t>文化旅游：</w:t>
      </w:r>
      <w:r>
        <w:rPr>
          <w:rFonts w:hint="eastAsia" w:ascii="仿宋_GB2312" w:eastAsia="仿宋_GB2312"/>
          <w:sz w:val="32"/>
          <w:szCs w:val="32"/>
        </w:rPr>
        <w:t>治理歌舞、游艺、剧院、互联网营业等场所消防设施器材未定期维护、保养、检测以及疏散通道、疏散标志不符合规定等隐患；整治旅行社和在线旅游企业对旅游产品、旅游线路未进行安全评估，未落实旅游包车“五不租”制度等行为。加强旅游景区出入口、重要游览点、室内演出场所和观光车、摆渡车、索道等设施设备隐患排查整治，优化设置游览线路，实施游客流量管控，完善景区内安全提示、警示标识和安全防护设施，严防群死群伤事故。</w:t>
      </w:r>
    </w:p>
    <w:p>
      <w:pPr>
        <w:spacing w:line="600" w:lineRule="exact"/>
        <w:ind w:firstLine="642" w:firstLineChars="200"/>
        <w:rPr>
          <w:rFonts w:hint="eastAsia" w:ascii="仿宋_GB2312" w:eastAsia="仿宋_GB2312"/>
          <w:sz w:val="32"/>
          <w:szCs w:val="32"/>
        </w:rPr>
      </w:pPr>
      <w:r>
        <w:rPr>
          <w:rFonts w:hint="eastAsia" w:ascii="仿宋_GB2312" w:eastAsia="仿宋_GB2312"/>
          <w:b/>
          <w:bCs/>
          <w:sz w:val="32"/>
          <w:szCs w:val="32"/>
        </w:rPr>
        <w:t>危险废物等：</w:t>
      </w:r>
      <w:r>
        <w:rPr>
          <w:rFonts w:hint="eastAsia" w:ascii="仿宋_GB2312" w:eastAsia="仿宋_GB2312"/>
          <w:sz w:val="32"/>
          <w:szCs w:val="32"/>
        </w:rPr>
        <w:t>按照《危险废物等安全专项整治三年行动实施方案》和集中攻坚年重点任务要求，及时查漏补缺，在“百日攻坚”集中行动结束时全面完成各项工作任务。加强化工企业、危险化学品单位及危险废物利用处置单位安全监管，严厉打击非法收集、贮存、利用、处置危险废物等违法行为。全面排查治理“煤改气”、清洁型煤燃用、渣土和垃圾清理、污水处理、涉爆粉尘企业的风险隐患。</w:t>
      </w:r>
    </w:p>
    <w:p>
      <w:pPr>
        <w:spacing w:line="600" w:lineRule="exact"/>
        <w:ind w:firstLine="642" w:firstLineChars="200"/>
        <w:rPr>
          <w:rFonts w:hint="eastAsia" w:ascii="仿宋_GB2312" w:eastAsia="仿宋_GB2312"/>
          <w:sz w:val="32"/>
          <w:szCs w:val="32"/>
        </w:rPr>
      </w:pPr>
      <w:r>
        <w:rPr>
          <w:rFonts w:hint="eastAsia" w:ascii="仿宋_GB2312" w:eastAsia="仿宋_GB2312"/>
          <w:b/>
          <w:bCs/>
          <w:sz w:val="32"/>
          <w:szCs w:val="32"/>
        </w:rPr>
        <w:t>特种设备：</w:t>
      </w:r>
      <w:r>
        <w:rPr>
          <w:rFonts w:hint="eastAsia" w:ascii="仿宋_GB2312" w:eastAsia="仿宋_GB2312"/>
          <w:sz w:val="32"/>
          <w:szCs w:val="32"/>
        </w:rPr>
        <w:t>按照《特种设备安全专项整治三年行动实施方案》和集中攻坚年重点任务要求，及时查漏补缺，在“百日攻坚”集中行动结束时全面完成各项工作任务。对企事业单位、车站、商场、旅游景区等人员密集场所的电梯、大型游乐设施、客运索道和盛装毒性程度为极度高度危害介质、易燃易爆介质的承压类特种设备，进行集中整治。</w:t>
      </w:r>
    </w:p>
    <w:p>
      <w:pPr>
        <w:spacing w:line="600" w:lineRule="exact"/>
        <w:ind w:firstLine="642" w:firstLineChars="200"/>
        <w:rPr>
          <w:rFonts w:hint="eastAsia" w:ascii="仿宋_GB2312" w:eastAsia="仿宋_GB2312"/>
          <w:sz w:val="32"/>
          <w:szCs w:val="32"/>
        </w:rPr>
      </w:pPr>
      <w:r>
        <w:rPr>
          <w:rFonts w:hint="eastAsia" w:ascii="仿宋_GB2312" w:eastAsia="仿宋_GB2312"/>
          <w:b/>
          <w:bCs/>
          <w:sz w:val="32"/>
          <w:szCs w:val="32"/>
        </w:rPr>
        <w:t>金属冶炼</w:t>
      </w:r>
      <w:r>
        <w:rPr>
          <w:rFonts w:hint="eastAsia" w:ascii="仿宋_GB2312" w:eastAsia="仿宋_GB2312"/>
          <w:sz w:val="32"/>
          <w:szCs w:val="32"/>
        </w:rPr>
        <w:t>：按照《冶金制造安全专项整治三年行动实施方案》和集中攻坚年重点任务要求，及时查漏补缺，在“百日攻坚”集中行动结束时全面完成各项工作任务。深入开展以高温熔融金属吊运、煤气（天然气）、熔炼炉铁水出口自动控流、除尘系统控爆等环节部位为重点的安全风险管控及隐患排查整治；严肃查处企业未落实煤气区域检维修、有限空间、高空作业等危险作业审批、安全条件确认等违规违章行为；对照《钢铁、铝加工（深井铸造）、粉尘涉爆、有限空间企业执法检查重点事项表》普遍开展一次精准执法检查。</w:t>
      </w:r>
    </w:p>
    <w:p>
      <w:pPr>
        <w:spacing w:line="600" w:lineRule="exact"/>
        <w:ind w:firstLine="642" w:firstLineChars="200"/>
        <w:rPr>
          <w:rFonts w:hint="eastAsia" w:ascii="仿宋_GB2312" w:eastAsia="仿宋_GB2312"/>
          <w:sz w:val="32"/>
          <w:szCs w:val="32"/>
        </w:rPr>
      </w:pPr>
      <w:r>
        <w:rPr>
          <w:rFonts w:hint="eastAsia" w:ascii="仿宋_GB2312" w:eastAsia="仿宋_GB2312"/>
          <w:b/>
          <w:bCs/>
          <w:sz w:val="32"/>
          <w:szCs w:val="32"/>
        </w:rPr>
        <w:t>消防安全：</w:t>
      </w:r>
      <w:r>
        <w:rPr>
          <w:rFonts w:hint="eastAsia" w:ascii="仿宋_GB2312" w:eastAsia="仿宋_GB2312"/>
          <w:sz w:val="32"/>
          <w:szCs w:val="32"/>
        </w:rPr>
        <w:t>按照《消防安全专项整治三年行动实施方案》和集中攻坚年重点任务要求，及时查漏补缺，在“百日攻坚”集中行动结束时全面完成各项工作任务。严格落实《冬春火灾防控工作方案》《全省商住混合体建筑消防安全综合治理工作方案》要求，紧盯商场、市场、养老院、医院、文博单位、“三合一”等人员密集场所和老旧高层建筑，排查整治违规用火用电用气、违规使用易燃可燃材料装饰装修、占堵疏散通道、停用消防设施等安全隐患。</w:t>
      </w:r>
      <w:r>
        <w:rPr>
          <w:rFonts w:hint="eastAsia" w:ascii="仿宋_GB2312" w:hAnsi="仿宋" w:eastAsia="仿宋_GB2312" w:cs="仿宋"/>
          <w:sz w:val="32"/>
          <w:szCs w:val="32"/>
        </w:rPr>
        <w:t>加强对建设工程消防设计审核、验收（备案），公众聚集场所投入使用前消防安全许可、消防安全管理机构和规章制度落实等进行排查治理。</w:t>
      </w:r>
    </w:p>
    <w:p>
      <w:pPr>
        <w:spacing w:line="600" w:lineRule="exact"/>
        <w:ind w:firstLine="642" w:firstLineChars="200"/>
        <w:rPr>
          <w:rFonts w:hint="eastAsia" w:ascii="仿宋_GB2312" w:eastAsia="仿宋_GB2312"/>
          <w:sz w:val="32"/>
          <w:szCs w:val="32"/>
        </w:rPr>
      </w:pPr>
      <w:r>
        <w:rPr>
          <w:rFonts w:hint="eastAsia" w:ascii="仿宋_GB2312" w:hAnsi="华文仿宋" w:eastAsia="仿宋_GB2312"/>
          <w:b/>
          <w:sz w:val="32"/>
          <w:szCs w:val="32"/>
        </w:rPr>
        <w:t>灾害防治：</w:t>
      </w:r>
      <w:r>
        <w:rPr>
          <w:rFonts w:hint="eastAsia" w:ascii="仿宋_GB2312" w:eastAsia="仿宋_GB2312"/>
          <w:sz w:val="32"/>
          <w:szCs w:val="32"/>
        </w:rPr>
        <w:t>严厉打击野外违规用火行为，严防火源带入山内林内，坚持以推进林长制为抓手，大力推乡、村干部和护林员分级包干网格化管理和定点巡查管护责任机制，切实盯住“五头”、看好“五口”、严查“五边”。</w:t>
      </w:r>
    </w:p>
    <w:p>
      <w:pPr>
        <w:spacing w:line="600" w:lineRule="exact"/>
        <w:ind w:firstLine="640" w:firstLineChars="200"/>
        <w:rPr>
          <w:rFonts w:hint="eastAsia" w:ascii="仿宋_GB2312" w:eastAsia="仿宋_GB2312"/>
          <w:sz w:val="32"/>
          <w:szCs w:val="32"/>
        </w:rPr>
      </w:pPr>
      <w:r>
        <w:rPr>
          <w:rFonts w:hint="eastAsia" w:ascii="仿宋_GB2312" w:hAnsi="仿宋" w:eastAsia="仿宋_GB2312" w:cs="仿宋"/>
          <w:sz w:val="32"/>
          <w:szCs w:val="32"/>
        </w:rPr>
        <w:t>加强</w:t>
      </w:r>
      <w:r>
        <w:rPr>
          <w:rFonts w:hint="eastAsia" w:ascii="仿宋_GB2312" w:hAnsi="华文仿宋" w:eastAsia="仿宋_GB2312"/>
          <w:sz w:val="32"/>
          <w:szCs w:val="32"/>
        </w:rPr>
        <w:t>灾害天气监测预报和会商研判，严格落实乡镇党委政府主体责任和基层群防群治责任，及时发布自然灾害隐患排查治理和预警信息，加强部门协调联动和地质灾害重点区域的监测预警，落实防范应对措施</w:t>
      </w:r>
      <w:r>
        <w:rPr>
          <w:rFonts w:hint="eastAsia" w:ascii="仿宋_GB2312" w:hAnsi="仿宋_GB2312" w:eastAsia="仿宋_GB2312" w:cs="仿宋_GB2312"/>
          <w:sz w:val="32"/>
        </w:rPr>
        <w:t>等</w:t>
      </w:r>
      <w:r>
        <w:rPr>
          <w:rFonts w:hint="eastAsia" w:ascii="仿宋_GB2312" w:hAnsi="仿宋" w:eastAsia="仿宋_GB2312" w:cs="仿宋"/>
          <w:sz w:val="32"/>
          <w:szCs w:val="32"/>
        </w:rPr>
        <w:t>。</w:t>
      </w:r>
    </w:p>
    <w:p>
      <w:pPr>
        <w:spacing w:line="600" w:lineRule="exact"/>
        <w:ind w:firstLine="642" w:firstLineChars="200"/>
        <w:rPr>
          <w:rFonts w:hint="eastAsia" w:ascii="楷体_GB2312" w:hAnsi="楷体_GB2312" w:eastAsia="楷体_GB2312" w:cs="楷体_GB2312"/>
          <w:b/>
          <w:bCs/>
          <w:sz w:val="32"/>
          <w:szCs w:val="32"/>
        </w:rPr>
      </w:pPr>
      <w:r>
        <w:rPr>
          <w:rFonts w:ascii="楷体_GB2312" w:hAnsi="楷体_GB2312" w:eastAsia="楷体_GB2312" w:cs="楷体_GB2312"/>
          <w:b/>
          <w:bCs/>
          <w:sz w:val="32"/>
          <w:szCs w:val="32"/>
        </w:rPr>
        <w:t>（</w:t>
      </w:r>
      <w:r>
        <w:rPr>
          <w:rFonts w:hint="eastAsia" w:ascii="楷体_GB2312" w:hAnsi="楷体_GB2312" w:eastAsia="楷体_GB2312" w:cs="楷体_GB2312"/>
          <w:b/>
          <w:bCs/>
          <w:sz w:val="32"/>
          <w:szCs w:val="32"/>
        </w:rPr>
        <w:t>三</w:t>
      </w:r>
      <w:r>
        <w:rPr>
          <w:rFonts w:ascii="楷体_GB2312" w:hAnsi="楷体_GB2312" w:eastAsia="楷体_GB2312" w:cs="楷体_GB2312"/>
          <w:b/>
          <w:bCs/>
          <w:sz w:val="32"/>
          <w:szCs w:val="32"/>
        </w:rPr>
        <w:t>）</w:t>
      </w:r>
      <w:r>
        <w:rPr>
          <w:rFonts w:hint="eastAsia" w:ascii="楷体_GB2312" w:hAnsi="楷体_GB2312" w:eastAsia="楷体_GB2312" w:cs="楷体_GB2312"/>
          <w:b/>
          <w:bCs/>
          <w:sz w:val="32"/>
          <w:szCs w:val="32"/>
        </w:rPr>
        <w:t>责任追究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各执法机关依据《刑法》、新《安全生产法》《矿产资源法》等法律法规中关于危险作业、安全生产、矿产资源开采等条款规定，依法依规打击盗采资源、危险作业等违法犯罪行为。县委、县政府严格执行省委、省政府《关于严格落实生态环境保护责任的决定》（晋发</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24</w:t>
      </w:r>
      <w:r>
        <w:rPr>
          <w:rFonts w:hint="eastAsia" w:ascii="仿宋_GB2312" w:hAnsi="仿宋_GB2312" w:eastAsia="仿宋_GB2312" w:cs="仿宋_GB2312"/>
          <w:sz w:val="32"/>
          <w:szCs w:val="32"/>
        </w:rPr>
        <w:t>号</w:t>
      </w:r>
      <w:r>
        <w:rPr>
          <w:rFonts w:hint="eastAsia" w:ascii="仿宋_GB2312" w:eastAsia="仿宋_GB2312"/>
          <w:sz w:val="32"/>
          <w:szCs w:val="32"/>
        </w:rPr>
        <w:t>），凡属地发生私挖滥采等造成严重后果的，一经查实，按照党政同责原则，第一时间对属地党政主要领导予以免职处理，并进一步依法依规追责问责，对直接责任人依法追究法律责任。</w:t>
      </w:r>
    </w:p>
    <w:p>
      <w:pPr>
        <w:spacing w:line="600" w:lineRule="exact"/>
        <w:ind w:firstLine="640" w:firstLineChars="200"/>
        <w:rPr>
          <w:rFonts w:hint="eastAsia" w:ascii="仿宋_GB2312" w:eastAsia="仿宋_GB2312"/>
          <w:sz w:val="32"/>
          <w:szCs w:val="32"/>
        </w:rPr>
      </w:pPr>
      <w:r>
        <w:rPr>
          <w:rFonts w:ascii="仿宋_GB2312" w:eastAsia="仿宋_GB2312"/>
          <w:sz w:val="32"/>
          <w:szCs w:val="32"/>
        </w:rPr>
        <w:t>2.</w:t>
      </w:r>
      <w:r>
        <w:rPr>
          <w:rFonts w:hint="eastAsia" w:ascii="仿宋_GB2312" w:eastAsia="仿宋_GB2312"/>
          <w:sz w:val="32"/>
          <w:szCs w:val="32"/>
        </w:rPr>
        <w:t>纪检监察机关要依规依纪依法严肃处理监管部门、人员与违法违规企业、人员相互勾结、利益输送以及为利益集团站台撑腰、提供庇护等问题。对非法违法行为导致事故发生负有领导和其他责任的人员，要启动责任追溯机制，不论是否调离转岗、提拔或者退休，都要依规依纪追责问责，涉及违法犯罪的，要依法移交有关部门处理。</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3.各</w:t>
      </w:r>
      <w:r>
        <w:rPr>
          <w:rFonts w:hint="eastAsia" w:ascii="仿宋_GB2312" w:eastAsia="仿宋_GB2312"/>
          <w:sz w:val="32"/>
          <w:szCs w:val="32"/>
          <w:lang w:eastAsia="zh-CN"/>
        </w:rPr>
        <w:t>村、各站所</w:t>
      </w:r>
      <w:r>
        <w:rPr>
          <w:rFonts w:hint="eastAsia" w:ascii="仿宋_GB2312" w:eastAsia="仿宋_GB2312"/>
          <w:sz w:val="32"/>
          <w:szCs w:val="32"/>
        </w:rPr>
        <w:t>要全面起底问题线索，重点对近三年来有举报、反复举报问题和群众反映比较强烈的问题，进行起底汇总，建立专项台账，尽快处置，逐一销号。需要移交纪检监察机关和公安机关的，要依纪依法移交。</w:t>
      </w:r>
    </w:p>
    <w:p>
      <w:pPr>
        <w:spacing w:line="600" w:lineRule="exact"/>
        <w:ind w:firstLine="640" w:firstLineChars="200"/>
        <w:rPr>
          <w:rFonts w:hint="eastAsia" w:ascii="黑体" w:hAnsi="方正黑体_GBK" w:eastAsia="黑体" w:cs="方正黑体_GBK"/>
          <w:sz w:val="32"/>
          <w:szCs w:val="32"/>
        </w:rPr>
      </w:pPr>
      <w:r>
        <w:rPr>
          <w:rFonts w:hint="eastAsia" w:ascii="黑体" w:hAnsi="方正黑体_GBK" w:eastAsia="黑体" w:cs="方正黑体_GBK"/>
          <w:sz w:val="32"/>
          <w:szCs w:val="32"/>
        </w:rPr>
        <w:t>五、方法和步骤</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坚持属地为主与行业督导相结合，企业自查自纠与监管部门督查相结合，监督检查与联合执法相结合，攻坚行动与目标责任考核相结合，分三个阶段进行：</w:t>
      </w:r>
    </w:p>
    <w:p>
      <w:pPr>
        <w:spacing w:line="600" w:lineRule="exact"/>
        <w:ind w:firstLine="642" w:firstLineChars="200"/>
        <w:rPr>
          <w:rFonts w:ascii="仿宋_GB2312" w:eastAsia="仿宋_GB2312"/>
          <w:sz w:val="32"/>
          <w:szCs w:val="32"/>
        </w:rPr>
      </w:pPr>
      <w:r>
        <w:rPr>
          <w:rFonts w:hint="eastAsia" w:ascii="楷体_GB2312" w:hAnsi="楷体_GB2312" w:eastAsia="楷体_GB2312" w:cs="楷体_GB2312"/>
          <w:b/>
          <w:bCs/>
          <w:sz w:val="32"/>
          <w:szCs w:val="32"/>
        </w:rPr>
        <w:t>（一）制定方案、自查自纠（2021年12月底前）</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各</w:t>
      </w:r>
      <w:r>
        <w:rPr>
          <w:rFonts w:hint="eastAsia" w:ascii="仿宋_GB2312" w:eastAsia="仿宋_GB2312"/>
          <w:sz w:val="32"/>
          <w:szCs w:val="32"/>
          <w:lang w:eastAsia="zh-CN"/>
        </w:rPr>
        <w:t>村、各站所</w:t>
      </w:r>
      <w:r>
        <w:rPr>
          <w:rFonts w:hint="eastAsia" w:ascii="仿宋_GB2312" w:eastAsia="仿宋_GB2312"/>
          <w:sz w:val="32"/>
          <w:szCs w:val="32"/>
        </w:rPr>
        <w:t>专项行动领导组办公室结合实际制定本辖区、本行业领域“百日攻坚”集中行动实施方案，并于12月底前报县“百日攻坚”办公室。同时，确定1名工作人员作为专项行动联络人，联络人有关信息报送。全面开展自查自纠，及时纠正非法违法生产经营建设行为，消除事故隐患，自查自纠情况要上报属地管理部门。</w:t>
      </w:r>
    </w:p>
    <w:p>
      <w:pPr>
        <w:spacing w:line="60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（二）全面检查、集中整治（2022年1月—3月底）</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各</w:t>
      </w:r>
      <w:r>
        <w:rPr>
          <w:rFonts w:hint="eastAsia" w:ascii="仿宋_GB2312" w:eastAsia="仿宋_GB2312"/>
          <w:sz w:val="32"/>
          <w:szCs w:val="32"/>
          <w:lang w:eastAsia="zh-CN"/>
        </w:rPr>
        <w:t>村、各站所</w:t>
      </w:r>
      <w:r>
        <w:rPr>
          <w:rFonts w:hint="eastAsia" w:ascii="仿宋_GB2312" w:eastAsia="仿宋_GB2312"/>
          <w:sz w:val="32"/>
          <w:szCs w:val="32"/>
        </w:rPr>
        <w:t>要对属地各行业领域生产经营建设单位逐一进行检查；</w:t>
      </w:r>
    </w:p>
    <w:p>
      <w:pPr>
        <w:spacing w:line="600" w:lineRule="exact"/>
        <w:ind w:firstLine="642" w:firstLineChars="200"/>
        <w:rPr>
          <w:rFonts w:ascii="楷体_GB2312" w:hAnsi="楷体_GB2312" w:eastAsia="楷体_GB2312" w:cs="楷体_GB2312"/>
          <w:b/>
          <w:bCs/>
          <w:sz w:val="32"/>
          <w:szCs w:val="32"/>
        </w:rPr>
      </w:pPr>
      <w:r>
        <w:rPr>
          <w:rFonts w:ascii="楷体_GB2312" w:hAnsi="楷体_GB2312" w:eastAsia="楷体_GB2312" w:cs="楷体_GB2312"/>
          <w:b/>
          <w:bCs/>
          <w:sz w:val="32"/>
          <w:szCs w:val="32"/>
        </w:rPr>
        <w:t>（三）</w:t>
      </w:r>
      <w:r>
        <w:rPr>
          <w:rFonts w:hint="eastAsia" w:ascii="楷体_GB2312" w:hAnsi="楷体_GB2312" w:eastAsia="楷体_GB2312" w:cs="楷体_GB2312"/>
          <w:b/>
          <w:bCs/>
          <w:sz w:val="32"/>
          <w:szCs w:val="32"/>
        </w:rPr>
        <w:t>综合督促检查</w:t>
      </w:r>
      <w:r>
        <w:rPr>
          <w:rFonts w:ascii="楷体_GB2312" w:hAnsi="楷体_GB2312" w:eastAsia="楷体_GB2312" w:cs="楷体_GB2312"/>
          <w:b/>
          <w:bCs/>
          <w:sz w:val="32"/>
          <w:szCs w:val="32"/>
        </w:rPr>
        <w:t>、</w:t>
      </w:r>
      <w:r>
        <w:rPr>
          <w:rFonts w:hint="eastAsia" w:ascii="楷体_GB2312" w:hAnsi="楷体_GB2312" w:eastAsia="楷体_GB2312" w:cs="楷体_GB2312"/>
          <w:b/>
          <w:bCs/>
          <w:sz w:val="32"/>
          <w:szCs w:val="32"/>
        </w:rPr>
        <w:t>强化责任落实</w:t>
      </w:r>
      <w:r>
        <w:rPr>
          <w:rFonts w:ascii="楷体_GB2312" w:hAnsi="楷体_GB2312" w:eastAsia="楷体_GB2312" w:cs="楷体_GB2312"/>
          <w:b/>
          <w:bCs/>
          <w:sz w:val="32"/>
          <w:szCs w:val="32"/>
        </w:rPr>
        <w:t>（</w:t>
      </w:r>
      <w:r>
        <w:rPr>
          <w:rFonts w:hint="eastAsia" w:ascii="楷体_GB2312" w:hAnsi="楷体_GB2312" w:eastAsia="楷体_GB2312" w:cs="楷体_GB2312"/>
          <w:b/>
          <w:bCs/>
          <w:sz w:val="32"/>
          <w:szCs w:val="32"/>
        </w:rPr>
        <w:t>2022年1月—3月底</w:t>
      </w:r>
      <w:r>
        <w:rPr>
          <w:rFonts w:ascii="楷体_GB2312" w:hAnsi="楷体_GB2312" w:eastAsia="楷体_GB2312" w:cs="楷体_GB2312"/>
          <w:b/>
          <w:bCs/>
          <w:sz w:val="32"/>
          <w:szCs w:val="32"/>
        </w:rPr>
        <w:t>）</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乡</w:t>
      </w:r>
      <w:r>
        <w:rPr>
          <w:rFonts w:hint="eastAsia" w:ascii="仿宋_GB2312" w:eastAsia="仿宋_GB2312"/>
          <w:sz w:val="32"/>
          <w:szCs w:val="32"/>
        </w:rPr>
        <w:t>“百日攻坚”办公室组织由科级领导带队的检查组，并邀请新闻媒体等单位人员参加，对各</w:t>
      </w:r>
      <w:r>
        <w:rPr>
          <w:rFonts w:hint="eastAsia" w:ascii="仿宋_GB2312" w:eastAsia="仿宋_GB2312"/>
          <w:sz w:val="32"/>
          <w:szCs w:val="32"/>
          <w:lang w:eastAsia="zh-CN"/>
        </w:rPr>
        <w:t>村、各站所</w:t>
      </w:r>
      <w:r>
        <w:rPr>
          <w:rFonts w:hint="eastAsia" w:ascii="仿宋_GB2312" w:eastAsia="仿宋_GB2312"/>
          <w:sz w:val="32"/>
          <w:szCs w:val="32"/>
        </w:rPr>
        <w:t>“百日攻坚”集中行动进行督促检查、提级核查和“开小灶”。</w:t>
      </w:r>
    </w:p>
    <w:p>
      <w:pPr>
        <w:pStyle w:val="8"/>
        <w:spacing w:line="600" w:lineRule="exact"/>
        <w:ind w:left="0" w:leftChars="0" w:firstLine="640"/>
        <w:rPr>
          <w:rFonts w:hint="eastAsia" w:ascii="黑体" w:eastAsia="黑体"/>
          <w:sz w:val="32"/>
          <w:szCs w:val="32"/>
        </w:rPr>
      </w:pPr>
      <w:r>
        <w:rPr>
          <w:rFonts w:hint="eastAsia" w:ascii="黑体" w:hAnsi="方正黑体_GBK" w:eastAsia="黑体" w:cs="方正黑体_GBK"/>
          <w:sz w:val="32"/>
          <w:szCs w:val="32"/>
        </w:rPr>
        <w:t>六、健全保障机制</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乡</w:t>
      </w:r>
      <w:r>
        <w:rPr>
          <w:rFonts w:hint="eastAsia" w:ascii="仿宋_GB2312" w:eastAsia="仿宋_GB2312"/>
          <w:sz w:val="32"/>
          <w:szCs w:val="32"/>
        </w:rPr>
        <w:t>“百日攻坚”办公室实行“一闭环、两移交、三公开、四考核、一追溯”工作机制。</w:t>
      </w:r>
      <w:r>
        <w:rPr>
          <w:rFonts w:hint="eastAsia" w:ascii="仿宋_GB2312" w:eastAsia="仿宋_GB2312"/>
          <w:b/>
          <w:sz w:val="32"/>
          <w:szCs w:val="32"/>
        </w:rPr>
        <w:t>对问题线索，</w:t>
      </w:r>
      <w:r>
        <w:rPr>
          <w:rFonts w:hint="eastAsia" w:ascii="仿宋_GB2312" w:eastAsia="仿宋_GB2312"/>
          <w:sz w:val="32"/>
          <w:szCs w:val="32"/>
        </w:rPr>
        <w:t>盯住不放，实行“发现线索、问题处置、移交办理、信息公开、提级核查、重点督导、考核通报”全过程闭环管理。</w:t>
      </w:r>
      <w:r>
        <w:rPr>
          <w:rFonts w:hint="eastAsia" w:ascii="仿宋_GB2312" w:eastAsia="仿宋_GB2312"/>
          <w:b/>
          <w:sz w:val="32"/>
          <w:szCs w:val="32"/>
        </w:rPr>
        <w:t>对打击违法违规行为，</w:t>
      </w:r>
      <w:r>
        <w:rPr>
          <w:rFonts w:hint="eastAsia" w:ascii="仿宋_GB2312" w:eastAsia="仿宋_GB2312"/>
          <w:sz w:val="32"/>
          <w:szCs w:val="32"/>
        </w:rPr>
        <w:t>毫不留情，涉嫌犯罪的，按权责移交公安机关依法调查处理；涉嫌失职渎职的，按权责移交纪检监察机关依纪依规处理。</w:t>
      </w:r>
      <w:r>
        <w:rPr>
          <w:rFonts w:hint="eastAsia" w:ascii="仿宋_GB2312" w:eastAsia="仿宋_GB2312"/>
          <w:b/>
          <w:sz w:val="32"/>
          <w:szCs w:val="32"/>
        </w:rPr>
        <w:t>对营造氛围，</w:t>
      </w:r>
      <w:r>
        <w:rPr>
          <w:rFonts w:hint="eastAsia" w:ascii="仿宋_GB2312" w:eastAsia="仿宋_GB2312"/>
          <w:sz w:val="32"/>
          <w:szCs w:val="32"/>
        </w:rPr>
        <w:t>公开透明，在媒体上对交办问题清单和查处整改进展情况每周公开、对办理结果及时公开。</w:t>
      </w:r>
      <w:r>
        <w:rPr>
          <w:rFonts w:hint="eastAsia" w:ascii="仿宋_GB2312" w:eastAsia="仿宋_GB2312"/>
          <w:b/>
          <w:sz w:val="32"/>
          <w:szCs w:val="32"/>
        </w:rPr>
        <w:t>对考核问效，</w:t>
      </w:r>
      <w:r>
        <w:rPr>
          <w:rFonts w:hint="eastAsia" w:ascii="仿宋_GB2312" w:eastAsia="仿宋_GB2312"/>
          <w:sz w:val="32"/>
          <w:szCs w:val="32"/>
        </w:rPr>
        <w:t>将“四个一批”（整改治理一批重大事故隐患、依法打击一批非法违法生产经营建设案件、关闭取缔一批违规和不符合安全生产条件的企业、问责曝光一批责任措施不落实的单位和人员）作为评价集中行动开展效果的重要指标进行考核。</w:t>
      </w:r>
      <w:r>
        <w:rPr>
          <w:rFonts w:hint="eastAsia" w:ascii="仿宋_GB2312" w:eastAsia="仿宋_GB2312"/>
          <w:b/>
          <w:sz w:val="32"/>
          <w:szCs w:val="32"/>
        </w:rPr>
        <w:t>对责任追究，</w:t>
      </w:r>
      <w:r>
        <w:rPr>
          <w:rFonts w:hint="eastAsia" w:ascii="仿宋_GB2312" w:eastAsia="仿宋_GB2312"/>
          <w:sz w:val="32"/>
          <w:szCs w:val="32"/>
        </w:rPr>
        <w:t>对非法违法行为导致事故发生负有领导责任，且失职失责性质恶劣、后果严重的，启动责任追溯机制。</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各</w:t>
      </w:r>
      <w:r>
        <w:rPr>
          <w:rFonts w:hint="eastAsia" w:ascii="仿宋_GB2312" w:eastAsia="仿宋_GB2312"/>
          <w:sz w:val="32"/>
          <w:szCs w:val="32"/>
          <w:lang w:eastAsia="zh-CN"/>
        </w:rPr>
        <w:t>村、各站所</w:t>
      </w:r>
      <w:r>
        <w:rPr>
          <w:rFonts w:hint="eastAsia" w:ascii="仿宋_GB2312" w:eastAsia="仿宋_GB2312"/>
          <w:sz w:val="32"/>
          <w:szCs w:val="32"/>
        </w:rPr>
        <w:t>参照县“一闭环、两移交、三公开、四考核、一追溯”工作机制，结合实际进一步建立健全相应工作机制，切实打通责任落实“最后一公里”，确保“百日攻坚”集中行动取得实效。</w:t>
      </w:r>
    </w:p>
    <w:p>
      <w:pPr>
        <w:spacing w:line="600" w:lineRule="exact"/>
        <w:ind w:firstLine="642" w:firstLineChars="200"/>
        <w:rPr>
          <w:rFonts w:hint="eastAsia" w:ascii="仿宋_GB2312" w:eastAsia="仿宋_GB2312"/>
          <w:sz w:val="32"/>
          <w:szCs w:val="32"/>
        </w:rPr>
      </w:pPr>
      <w:r>
        <w:rPr>
          <w:rFonts w:hint="eastAsia" w:ascii="楷体_GB2312" w:hAnsi="楷体_GB2312" w:eastAsia="楷体_GB2312" w:cs="楷体_GB2312"/>
          <w:b/>
          <w:bCs/>
          <w:sz w:val="32"/>
          <w:szCs w:val="32"/>
        </w:rPr>
        <w:t>（一）发现线索。</w:t>
      </w:r>
      <w:r>
        <w:rPr>
          <w:rFonts w:hint="eastAsia" w:ascii="仿宋" w:hAnsi="仿宋" w:eastAsia="仿宋" w:cs="仿宋"/>
          <w:sz w:val="32"/>
          <w:szCs w:val="32"/>
          <w:lang w:eastAsia="zh-CN"/>
        </w:rPr>
        <w:t>乡</w:t>
      </w:r>
      <w:r>
        <w:rPr>
          <w:rFonts w:hint="eastAsia" w:ascii="仿宋_GB2312" w:eastAsia="仿宋_GB2312"/>
          <w:sz w:val="32"/>
          <w:szCs w:val="32"/>
        </w:rPr>
        <w:t>“百日攻坚”办公室公布举报电话、邮政信箱，抽调专人负责接收处置受理群众来电、来信。将群众举报和各行业领域主管监管部门督查检查等渠道发现和收集各类重大隐患、非法违法生产经营建设行为，梳理汇总，形成每日问题线索清单。</w:t>
      </w:r>
    </w:p>
    <w:p>
      <w:pPr>
        <w:spacing w:line="600" w:lineRule="exact"/>
        <w:ind w:firstLine="642" w:firstLineChars="200"/>
        <w:rPr>
          <w:rFonts w:hint="eastAsia" w:ascii="仿宋_GB2312" w:eastAsia="仿宋_GB2312"/>
          <w:sz w:val="32"/>
          <w:szCs w:val="32"/>
        </w:rPr>
      </w:pPr>
      <w:r>
        <w:rPr>
          <w:rFonts w:hint="eastAsia" w:ascii="楷体_GB2312" w:hAnsi="楷体_GB2312" w:eastAsia="楷体_GB2312" w:cs="楷体_GB2312"/>
          <w:b/>
          <w:bCs/>
          <w:sz w:val="32"/>
          <w:szCs w:val="32"/>
        </w:rPr>
        <w:t>（二）问题处置。</w:t>
      </w:r>
      <w:r>
        <w:rPr>
          <w:rFonts w:hint="eastAsia" w:ascii="仿宋_GB2312" w:eastAsia="仿宋_GB2312"/>
          <w:sz w:val="32"/>
          <w:szCs w:val="32"/>
          <w:lang w:eastAsia="zh-CN"/>
        </w:rPr>
        <w:t>乡</w:t>
      </w:r>
      <w:r>
        <w:rPr>
          <w:rFonts w:hint="eastAsia" w:ascii="仿宋_GB2312" w:eastAsia="仿宋_GB2312"/>
          <w:sz w:val="32"/>
          <w:szCs w:val="32"/>
        </w:rPr>
        <w:t>“百日攻坚”办公室对每日问题线索清单进行逐项编号、建立台账，按照问题线索涉及的责任单位进行分类，形成问题线索交办清单。</w:t>
      </w:r>
    </w:p>
    <w:p>
      <w:pPr>
        <w:spacing w:line="600" w:lineRule="exact"/>
        <w:ind w:firstLine="642" w:firstLineChars="200"/>
        <w:rPr>
          <w:rFonts w:hint="eastAsia" w:ascii="仿宋_GB2312" w:eastAsia="仿宋_GB2312"/>
          <w:sz w:val="32"/>
          <w:szCs w:val="32"/>
        </w:rPr>
      </w:pPr>
      <w:r>
        <w:rPr>
          <w:rFonts w:hint="eastAsia" w:ascii="楷体_GB2312" w:hAnsi="楷体_GB2312" w:eastAsia="楷体_GB2312" w:cs="楷体_GB2312"/>
          <w:b/>
          <w:bCs/>
          <w:sz w:val="32"/>
          <w:szCs w:val="32"/>
        </w:rPr>
        <w:t>（三）移交办理。</w:t>
      </w:r>
      <w:r>
        <w:rPr>
          <w:rFonts w:hint="eastAsia" w:ascii="仿宋_GB2312" w:eastAsia="仿宋_GB2312"/>
          <w:sz w:val="32"/>
          <w:szCs w:val="32"/>
          <w:lang w:eastAsia="zh-CN"/>
        </w:rPr>
        <w:t>乡</w:t>
      </w:r>
      <w:r>
        <w:rPr>
          <w:rFonts w:hint="eastAsia" w:ascii="仿宋_GB2312" w:eastAsia="仿宋_GB2312"/>
          <w:sz w:val="32"/>
          <w:szCs w:val="32"/>
        </w:rPr>
        <w:t>“百日攻坚”办公室按照问题线索交办清单，隔日向县有关部门进行交办。</w:t>
      </w:r>
    </w:p>
    <w:p>
      <w:pPr>
        <w:pStyle w:val="8"/>
        <w:spacing w:line="600" w:lineRule="exact"/>
        <w:ind w:left="0" w:leftChars="0" w:firstLine="640"/>
        <w:rPr>
          <w:rFonts w:hint="eastAsia" w:ascii="仿宋_GB2312" w:eastAsia="仿宋_GB2312"/>
          <w:sz w:val="32"/>
          <w:szCs w:val="32"/>
        </w:rPr>
      </w:pPr>
      <w:r>
        <w:rPr>
          <w:rFonts w:hint="eastAsia" w:ascii="仿宋_GB2312" w:eastAsia="仿宋_GB2312"/>
          <w:sz w:val="32"/>
          <w:szCs w:val="32"/>
          <w:lang w:eastAsia="zh-CN"/>
        </w:rPr>
        <w:t>乡政府</w:t>
      </w:r>
      <w:r>
        <w:rPr>
          <w:rFonts w:hint="eastAsia" w:ascii="仿宋_GB2312" w:eastAsia="仿宋_GB2312"/>
          <w:sz w:val="32"/>
          <w:szCs w:val="32"/>
        </w:rPr>
        <w:t>收到交办清单后，立即进行核实，如有异议，两日内可以向县“百日攻坚”办公室反馈。如无异议，自交办之日起，7日之内向县“百日攻坚”办公室反馈办理结果，反馈情况要经主要负责同志审核并签字确认。涉嫌犯罪的，提请县委县政府按权责移交公安机关依法调查处理；涉嫌失职渎职的提请纪检</w:t>
      </w:r>
      <w:r>
        <w:rPr>
          <w:rFonts w:hint="eastAsia" w:ascii="仿宋_GB2312" w:eastAsia="仿宋_GB2312"/>
          <w:sz w:val="32"/>
          <w:szCs w:val="32"/>
          <w:lang w:eastAsia="zh-CN"/>
        </w:rPr>
        <w:t>监察</w:t>
      </w:r>
      <w:bookmarkStart w:id="0" w:name="_GoBack"/>
      <w:bookmarkEnd w:id="0"/>
      <w:r>
        <w:rPr>
          <w:rFonts w:hint="eastAsia" w:ascii="仿宋_GB2312" w:eastAsia="仿宋_GB2312"/>
          <w:sz w:val="32"/>
          <w:szCs w:val="32"/>
        </w:rPr>
        <w:t>机关依纪依规处理。</w:t>
      </w:r>
    </w:p>
    <w:p>
      <w:pPr>
        <w:spacing w:line="600" w:lineRule="exact"/>
        <w:ind w:firstLine="642" w:firstLineChars="200"/>
        <w:rPr>
          <w:rFonts w:hint="eastAsia" w:ascii="仿宋_GB2312" w:eastAsia="仿宋_GB2312"/>
          <w:sz w:val="32"/>
          <w:szCs w:val="32"/>
        </w:rPr>
      </w:pPr>
      <w:r>
        <w:rPr>
          <w:rFonts w:hint="eastAsia" w:ascii="楷体_GB2312" w:hAnsi="楷体_GB2312" w:eastAsia="楷体_GB2312" w:cs="楷体_GB2312"/>
          <w:b/>
          <w:bCs/>
          <w:sz w:val="32"/>
          <w:szCs w:val="32"/>
        </w:rPr>
        <w:t>（四）信息公开。</w:t>
      </w:r>
      <w:r>
        <w:rPr>
          <w:rFonts w:hint="eastAsia" w:ascii="仿宋_GB2312" w:eastAsia="仿宋_GB2312"/>
          <w:sz w:val="32"/>
          <w:szCs w:val="32"/>
          <w:lang w:eastAsia="zh-CN"/>
        </w:rPr>
        <w:t>乡</w:t>
      </w:r>
      <w:r>
        <w:rPr>
          <w:rFonts w:hint="eastAsia" w:ascii="仿宋_GB2312" w:eastAsia="仿宋_GB2312"/>
          <w:sz w:val="32"/>
          <w:szCs w:val="32"/>
        </w:rPr>
        <w:t>“百日攻坚”办公室在山阴电视台，对交办问题清单和查处整改进展情况每周公开。其中，办理结果重点包括“违法性质、停产整顿、关闭取缔、行政处罚、吊销证照、重大事故隐患整改率、提级核查、失信企业联合惩戒、党纪政务处分、刑事责任追究”等</w:t>
      </w:r>
      <w:r>
        <w:rPr>
          <w:rFonts w:ascii="仿宋_GB2312" w:eastAsia="仿宋_GB2312"/>
          <w:sz w:val="32"/>
          <w:szCs w:val="32"/>
        </w:rPr>
        <w:t>10</w:t>
      </w:r>
      <w:r>
        <w:rPr>
          <w:rFonts w:hint="eastAsia" w:ascii="仿宋_GB2312" w:eastAsia="仿宋_GB2312"/>
          <w:sz w:val="32"/>
          <w:szCs w:val="32"/>
        </w:rPr>
        <w:t>项内容。</w:t>
      </w:r>
    </w:p>
    <w:p>
      <w:pPr>
        <w:spacing w:line="600" w:lineRule="exact"/>
        <w:ind w:firstLine="642" w:firstLineChars="200"/>
        <w:rPr>
          <w:rFonts w:hint="eastAsia" w:ascii="仿宋_GB2312" w:eastAsia="仿宋_GB2312"/>
          <w:sz w:val="32"/>
          <w:szCs w:val="32"/>
        </w:rPr>
      </w:pPr>
      <w:r>
        <w:rPr>
          <w:rFonts w:hint="eastAsia" w:ascii="楷体_GB2312" w:hAnsi="楷体_GB2312" w:eastAsia="楷体_GB2312" w:cs="楷体_GB2312"/>
          <w:b/>
          <w:bCs/>
          <w:sz w:val="32"/>
          <w:szCs w:val="32"/>
        </w:rPr>
        <w:t>（五）提级核查。</w:t>
      </w:r>
      <w:r>
        <w:rPr>
          <w:rFonts w:hint="eastAsia" w:ascii="仿宋_GB2312" w:eastAsia="仿宋_GB2312"/>
          <w:sz w:val="32"/>
          <w:szCs w:val="32"/>
          <w:lang w:eastAsia="zh-CN"/>
        </w:rPr>
        <w:t>乡</w:t>
      </w:r>
      <w:r>
        <w:rPr>
          <w:rFonts w:hint="eastAsia" w:ascii="仿宋_GB2312" w:eastAsia="仿宋_GB2312"/>
          <w:sz w:val="32"/>
          <w:szCs w:val="32"/>
        </w:rPr>
        <w:t>“百日攻坚”办公室对交办有关部门问题线索未按期办结、“接而不办”、“虚假办结”等问题要从重处理，严肃追责问责。</w:t>
      </w:r>
    </w:p>
    <w:p>
      <w:pPr>
        <w:spacing w:line="600" w:lineRule="exact"/>
        <w:ind w:firstLine="642" w:firstLineChars="200"/>
        <w:rPr>
          <w:rFonts w:hint="eastAsia" w:ascii="仿宋_GB2312" w:eastAsia="仿宋_GB2312"/>
          <w:sz w:val="32"/>
          <w:szCs w:val="32"/>
        </w:rPr>
      </w:pPr>
      <w:r>
        <w:rPr>
          <w:rFonts w:hint="eastAsia" w:ascii="楷体_GB2312" w:hAnsi="楷体_GB2312" w:eastAsia="楷体_GB2312" w:cs="楷体_GB2312"/>
          <w:b/>
          <w:bCs/>
          <w:sz w:val="32"/>
          <w:szCs w:val="32"/>
        </w:rPr>
        <w:t>（六）考核通报。</w:t>
      </w:r>
      <w:r>
        <w:rPr>
          <w:rFonts w:hint="eastAsia" w:ascii="仿宋_GB2312" w:eastAsia="仿宋_GB2312"/>
          <w:sz w:val="32"/>
          <w:szCs w:val="32"/>
          <w:lang w:eastAsia="zh-CN"/>
        </w:rPr>
        <w:t>乡</w:t>
      </w:r>
      <w:r>
        <w:rPr>
          <w:rFonts w:hint="eastAsia" w:ascii="仿宋_GB2312" w:eastAsia="仿宋_GB2312"/>
          <w:sz w:val="32"/>
          <w:szCs w:val="32"/>
        </w:rPr>
        <w:t>“百日攻坚”办公室每月对</w:t>
      </w:r>
      <w:r>
        <w:rPr>
          <w:rFonts w:hint="eastAsia" w:ascii="仿宋_GB2312" w:eastAsia="仿宋_GB2312"/>
          <w:sz w:val="32"/>
          <w:szCs w:val="32"/>
          <w:lang w:eastAsia="zh-CN"/>
        </w:rPr>
        <w:t>各村</w:t>
      </w:r>
      <w:r>
        <w:rPr>
          <w:rFonts w:hint="eastAsia" w:ascii="仿宋_GB2312" w:eastAsia="仿宋_GB2312"/>
          <w:sz w:val="32"/>
          <w:szCs w:val="32"/>
        </w:rPr>
        <w:t>、各</w:t>
      </w:r>
      <w:r>
        <w:rPr>
          <w:rFonts w:hint="eastAsia" w:ascii="仿宋_GB2312" w:eastAsia="仿宋_GB2312"/>
          <w:sz w:val="32"/>
          <w:szCs w:val="32"/>
          <w:lang w:eastAsia="zh-CN"/>
        </w:rPr>
        <w:t>站所</w:t>
      </w:r>
      <w:r>
        <w:rPr>
          <w:rFonts w:hint="eastAsia" w:ascii="仿宋_GB2312" w:eastAsia="仿宋_GB2312"/>
          <w:sz w:val="32"/>
          <w:szCs w:val="32"/>
        </w:rPr>
        <w:t>集中行动开展情况进行考评，公布考评排队结果。集中行动结束后，对</w:t>
      </w:r>
      <w:r>
        <w:rPr>
          <w:rFonts w:hint="eastAsia" w:ascii="仿宋_GB2312" w:eastAsia="仿宋_GB2312"/>
          <w:sz w:val="32"/>
          <w:szCs w:val="32"/>
          <w:lang w:eastAsia="zh-CN"/>
        </w:rPr>
        <w:t>我乡</w:t>
      </w:r>
      <w:r>
        <w:rPr>
          <w:rFonts w:hint="eastAsia" w:ascii="仿宋_GB2312" w:eastAsia="仿宋_GB2312"/>
          <w:sz w:val="32"/>
          <w:szCs w:val="32"/>
        </w:rPr>
        <w:t>进行综合考评，报县委、县政府审定，结果抄送县纪委监委和县委组织部，并在山阴电视台公示，同时纳入安全生产目标责任考核内容。</w:t>
      </w:r>
    </w:p>
    <w:p>
      <w:pPr>
        <w:spacing w:line="600" w:lineRule="exact"/>
        <w:ind w:firstLine="640" w:firstLineChars="200"/>
        <w:rPr>
          <w:rFonts w:hint="eastAsia" w:ascii="黑体" w:hAnsi="方正黑体_GBK" w:eastAsia="黑体" w:cs="方正黑体_GBK"/>
          <w:sz w:val="32"/>
          <w:szCs w:val="32"/>
        </w:rPr>
      </w:pPr>
      <w:r>
        <w:rPr>
          <w:rFonts w:hint="eastAsia" w:ascii="黑体" w:hAnsi="方正黑体_GBK" w:eastAsia="黑体" w:cs="方正黑体_GBK"/>
          <w:sz w:val="32"/>
          <w:szCs w:val="32"/>
        </w:rPr>
        <w:t>七、工作要求</w:t>
      </w:r>
    </w:p>
    <w:p>
      <w:pPr>
        <w:spacing w:line="600" w:lineRule="exact"/>
        <w:ind w:firstLine="642" w:firstLineChars="200"/>
        <w:rPr>
          <w:rFonts w:hint="eastAsia" w:ascii="仿宋_GB2312" w:eastAsia="仿宋_GB2312"/>
          <w:sz w:val="32"/>
          <w:szCs w:val="32"/>
        </w:rPr>
      </w:pPr>
      <w:r>
        <w:rPr>
          <w:rFonts w:hint="eastAsia" w:ascii="楷体_GB2312" w:hAnsi="楷体_GB2312" w:eastAsia="楷体_GB2312" w:cs="楷体_GB2312"/>
          <w:b/>
          <w:bCs/>
          <w:sz w:val="32"/>
          <w:szCs w:val="32"/>
        </w:rPr>
        <w:t>（一）加强组织领导。</w:t>
      </w:r>
      <w:r>
        <w:rPr>
          <w:rFonts w:hint="eastAsia" w:ascii="仿宋_GB2312" w:eastAsia="仿宋_GB2312"/>
          <w:sz w:val="32"/>
          <w:szCs w:val="32"/>
        </w:rPr>
        <w:t>坚持“总分结合、分工负责”原则，形成“1+N”抓落实工作体系，县政府负责牵头抓总，各乡镇和县直部门是抓落实的责任主体，主要负责人是抓落实的第一责任人。按照“党政同责、一岗双责、齐抓共管、失职追责”要求，乡党政主要负责同志牵头，组织领导本辖区内“百日攻坚”集中行动。各生产经营建设单位主要负责人要切实负起安全生产第一责任人的责任，认真组织开展自查自纠，针对排查出的问题隐患，落实整改方案、责任、时限、措施和资金，全面提高依法依规生产经营建设水平。</w:t>
      </w:r>
    </w:p>
    <w:p>
      <w:pPr>
        <w:spacing w:line="600" w:lineRule="exact"/>
        <w:ind w:firstLine="642" w:firstLineChars="200"/>
        <w:rPr>
          <w:rFonts w:hint="eastAsia" w:ascii="仿宋_GB2312" w:eastAsia="仿宋_GB2312"/>
          <w:sz w:val="32"/>
          <w:szCs w:val="32"/>
        </w:rPr>
      </w:pPr>
      <w:r>
        <w:rPr>
          <w:rFonts w:ascii="楷体_GB2312" w:hAnsi="楷体_GB2312" w:eastAsia="楷体_GB2312" w:cs="楷体_GB2312"/>
          <w:b/>
          <w:bCs/>
          <w:sz w:val="32"/>
          <w:szCs w:val="32"/>
        </w:rPr>
        <w:t>（</w:t>
      </w:r>
      <w:r>
        <w:rPr>
          <w:rFonts w:hint="eastAsia" w:ascii="楷体_GB2312" w:hAnsi="楷体_GB2312" w:eastAsia="楷体_GB2312" w:cs="楷体_GB2312"/>
          <w:b/>
          <w:bCs/>
          <w:sz w:val="32"/>
          <w:szCs w:val="32"/>
        </w:rPr>
        <w:t>二</w:t>
      </w:r>
      <w:r>
        <w:rPr>
          <w:rFonts w:ascii="楷体_GB2312" w:hAnsi="楷体_GB2312" w:eastAsia="楷体_GB2312" w:cs="楷体_GB2312"/>
          <w:b/>
          <w:bCs/>
          <w:sz w:val="32"/>
          <w:szCs w:val="32"/>
        </w:rPr>
        <w:t>）</w:t>
      </w:r>
      <w:r>
        <w:rPr>
          <w:rFonts w:hint="eastAsia" w:ascii="楷体_GB2312" w:hAnsi="楷体_GB2312" w:eastAsia="楷体_GB2312" w:cs="楷体_GB2312"/>
          <w:b/>
          <w:bCs/>
          <w:sz w:val="32"/>
          <w:szCs w:val="32"/>
        </w:rPr>
        <w:t>从严监管执法</w:t>
      </w:r>
      <w:r>
        <w:rPr>
          <w:rFonts w:ascii="楷体_GB2312" w:hAnsi="楷体_GB2312" w:eastAsia="楷体_GB2312" w:cs="楷体_GB2312"/>
          <w:b/>
          <w:bCs/>
          <w:sz w:val="32"/>
          <w:szCs w:val="32"/>
        </w:rPr>
        <w:t>。</w:t>
      </w:r>
      <w:r>
        <w:rPr>
          <w:rFonts w:hint="eastAsia" w:ascii="仿宋_GB2312" w:eastAsia="仿宋_GB2312"/>
          <w:sz w:val="32"/>
          <w:szCs w:val="32"/>
        </w:rPr>
        <w:t>要强化联合执法，形成“百日攻坚”集中行动高压态势，坚决落实“七项措施”，做到“五个一批”，即对非法生产经营建设和经停产整顿仍未达到要求的，依法关闭取缔；对非法违法生产经营建设的有关单位和责任人，按规定予以顶格处罚；对存在违法生产经营建设行为和存在重大事故隐患的单位，依法责令停产停业整顿，并严格落实政府分管负责人挂牌督办等监管措施；对触犯法律的有关单位和人员，依法追究责任，对触犯刑法的，移交司法机关追究刑事责任；对抽查检查应发现未发现、应处罚未处罚非法违法生产经营建设行为的，依法依规依纪予以追责问责；对为非法违法生产经营建设行为充当“保护伞”的，一查到底严惩不贷；对发生重特大生产安全事故的、非法违法生产经营建设行为存在现实危险或导致发生重大涉险事故的，要对县乡党委政府和行业领域主管部门负责人采取就地免职等组织处理措施，并依法依规追责。通过“百日攻坚”集中行动，真正做到整改治理一批重大事故隐患、依法严惩一批非法违法生产经营建设行为、关闭取缔一批违法违规和不符合安全生产条件的企业、联合惩戒一批严重失信的市场主体、问责曝光一批责任措施不落实的单位和个人。</w:t>
      </w:r>
    </w:p>
    <w:p>
      <w:pPr>
        <w:spacing w:line="600" w:lineRule="exact"/>
        <w:ind w:firstLine="642" w:firstLineChars="200"/>
        <w:rPr>
          <w:rFonts w:hint="eastAsia" w:ascii="仿宋_GB2312" w:eastAsia="仿宋_GB2312"/>
          <w:sz w:val="32"/>
          <w:szCs w:val="32"/>
        </w:rPr>
      </w:pPr>
      <w:r>
        <w:rPr>
          <w:rFonts w:hint="eastAsia" w:ascii="楷体_GB2312" w:hAnsi="楷体_GB2312" w:eastAsia="楷体_GB2312" w:cs="楷体_GB2312"/>
          <w:b/>
          <w:bCs/>
          <w:sz w:val="32"/>
          <w:szCs w:val="32"/>
        </w:rPr>
        <w:t>（三）强化科技运用。</w:t>
      </w:r>
      <w:r>
        <w:rPr>
          <w:rFonts w:hint="eastAsia" w:ascii="仿宋_GB2312" w:eastAsia="仿宋_GB2312"/>
          <w:sz w:val="32"/>
          <w:szCs w:val="32"/>
        </w:rPr>
        <w:t>充分利用卫片执法、监测监控、预警预报等信息化监管手段，特别是要通过用电数据监测分析，及时发现生产经营建设单位是否存在明停暗开、昼停夜开、超负荷生产、未及时停产整顿、不落实基本安全保障措施等非法违法生产行为和停产停工、紧急停车、自动停产等异常生产行为，提高打击盗采国家矿产资源、违法违规组织生产的效能。各级各有关部门要进一步加大资金投入，建设完善一批科技化、信息化设施设备，提高打击非法违法生产经营建设行为的信息化水平。</w:t>
      </w:r>
    </w:p>
    <w:p>
      <w:pPr>
        <w:spacing w:line="600" w:lineRule="exact"/>
        <w:ind w:firstLine="642" w:firstLineChars="200"/>
        <w:rPr>
          <w:rFonts w:hint="eastAsia" w:ascii="仿宋_GB2312" w:eastAsia="仿宋_GB2312"/>
          <w:sz w:val="32"/>
          <w:szCs w:val="32"/>
        </w:rPr>
      </w:pPr>
      <w:r>
        <w:rPr>
          <w:rFonts w:hint="eastAsia" w:ascii="楷体_GB2312" w:hAnsi="楷体_GB2312" w:eastAsia="楷体_GB2312" w:cs="楷体_GB2312"/>
          <w:b/>
          <w:bCs/>
          <w:sz w:val="32"/>
          <w:szCs w:val="32"/>
        </w:rPr>
        <w:t>（四）搞好宣传动员。</w:t>
      </w:r>
      <w:r>
        <w:rPr>
          <w:rFonts w:hint="eastAsia" w:ascii="仿宋_GB2312" w:eastAsia="仿宋_GB2312"/>
          <w:sz w:val="32"/>
          <w:szCs w:val="32"/>
        </w:rPr>
        <w:t>要在报纸、电视台等主流媒体和新媒体设置“百日攻坚”集中行动专栏，进行广泛宣传发动，引导广大企业职工和人民群众积极参与、支持“百日攻坚”集中行动，主动举报非法违法生产经营建设行为，切实增强安全自律意识。加强社会和舆论监督，营造良好社会氛围，对典型非法违法行为及时公开曝光。</w:t>
      </w:r>
    </w:p>
    <w:p>
      <w:pPr>
        <w:spacing w:line="600" w:lineRule="exact"/>
        <w:ind w:firstLine="642" w:firstLineChars="200"/>
        <w:rPr>
          <w:rFonts w:hint="eastAsia" w:ascii="仿宋_GB2312" w:eastAsia="仿宋_GB2312"/>
          <w:sz w:val="32"/>
          <w:szCs w:val="32"/>
        </w:rPr>
      </w:pPr>
      <w:r>
        <w:rPr>
          <w:rFonts w:ascii="楷体_GB2312" w:hAnsi="楷体_GB2312" w:eastAsia="楷体_GB2312" w:cs="楷体_GB2312"/>
          <w:b/>
          <w:bCs/>
          <w:sz w:val="32"/>
          <w:szCs w:val="32"/>
        </w:rPr>
        <w:t>（</w:t>
      </w:r>
      <w:r>
        <w:rPr>
          <w:rFonts w:hint="eastAsia" w:ascii="楷体_GB2312" w:hAnsi="楷体_GB2312" w:eastAsia="楷体_GB2312" w:cs="楷体_GB2312"/>
          <w:b/>
          <w:bCs/>
          <w:sz w:val="32"/>
          <w:szCs w:val="32"/>
        </w:rPr>
        <w:t>五</w:t>
      </w:r>
      <w:r>
        <w:rPr>
          <w:rFonts w:ascii="楷体_GB2312" w:hAnsi="楷体_GB2312" w:eastAsia="楷体_GB2312" w:cs="楷体_GB2312"/>
          <w:b/>
          <w:bCs/>
          <w:sz w:val="32"/>
          <w:szCs w:val="32"/>
        </w:rPr>
        <w:t>）</w:t>
      </w:r>
      <w:r>
        <w:rPr>
          <w:rFonts w:hint="eastAsia" w:ascii="楷体_GB2312" w:hAnsi="楷体_GB2312" w:eastAsia="楷体_GB2312" w:cs="楷体_GB2312"/>
          <w:b/>
          <w:bCs/>
          <w:sz w:val="32"/>
          <w:szCs w:val="32"/>
        </w:rPr>
        <w:t>及时汇总上报。</w:t>
      </w:r>
      <w:r>
        <w:rPr>
          <w:rFonts w:hint="eastAsia" w:ascii="仿宋_GB2312" w:eastAsia="仿宋_GB2312"/>
          <w:sz w:val="32"/>
          <w:szCs w:val="32"/>
        </w:rPr>
        <w:t>要于每周一（按附件2、3要求）将上周工作进展情况报送县“百日攻坚”办公室。2022年4月8日前，将工作总结报送县“百日攻坚”办公室。</w:t>
      </w: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乡</w:t>
      </w:r>
      <w:r>
        <w:rPr>
          <w:rFonts w:hint="eastAsia" w:ascii="仿宋_GB2312" w:eastAsia="仿宋_GB2312"/>
          <w:sz w:val="32"/>
          <w:szCs w:val="32"/>
        </w:rPr>
        <w:t>“百日攻坚”办公室联系人及电话：</w:t>
      </w:r>
    </w:p>
    <w:p>
      <w:pPr>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王瑜瑶</w:t>
      </w:r>
      <w:r>
        <w:rPr>
          <w:rFonts w:hint="eastAsia" w:ascii="仿宋_GB2312" w:eastAsia="仿宋_GB2312"/>
          <w:sz w:val="32"/>
          <w:szCs w:val="32"/>
          <w:lang w:val="en"/>
        </w:rPr>
        <w:t xml:space="preserve">   </w:t>
      </w:r>
      <w:r>
        <w:rPr>
          <w:rFonts w:hint="eastAsia" w:ascii="仿宋_GB2312" w:eastAsia="仿宋_GB2312"/>
          <w:sz w:val="32"/>
          <w:szCs w:val="32"/>
        </w:rPr>
        <w:t>0349-</w:t>
      </w:r>
      <w:r>
        <w:rPr>
          <w:rFonts w:hint="eastAsia" w:ascii="仿宋_GB2312" w:eastAsia="仿宋_GB2312"/>
          <w:sz w:val="32"/>
          <w:szCs w:val="32"/>
          <w:lang w:val="en-US" w:eastAsia="zh-CN"/>
        </w:rPr>
        <w:t>7095128</w:t>
      </w:r>
      <w:r>
        <w:rPr>
          <w:rFonts w:hint="eastAsia" w:ascii="仿宋_GB2312" w:eastAsia="仿宋_GB2312"/>
          <w:sz w:val="32"/>
          <w:szCs w:val="32"/>
        </w:rPr>
        <w:t xml:space="preserve">  </w:t>
      </w:r>
      <w:r>
        <w:rPr>
          <w:rFonts w:hint="eastAsia" w:ascii="仿宋_GB2312" w:eastAsia="仿宋_GB2312"/>
          <w:sz w:val="32"/>
          <w:szCs w:val="32"/>
          <w:lang w:val="en-US" w:eastAsia="zh-CN"/>
        </w:rPr>
        <w:t>14797100421</w:t>
      </w:r>
    </w:p>
    <w:p>
      <w:pPr>
        <w:spacing w:line="600" w:lineRule="exact"/>
        <w:rPr>
          <w:rFonts w:hint="eastAsia" w:ascii="仿宋_GB2312" w:eastAsia="仿宋_GB2312"/>
          <w:sz w:val="32"/>
          <w:szCs w:val="32"/>
          <w:lang w:val="en-US" w:eastAsia="zh-CN"/>
        </w:rPr>
      </w:pPr>
    </w:p>
    <w:p>
      <w:pPr>
        <w:spacing w:line="600" w:lineRule="exact"/>
        <w:rPr>
          <w:rFonts w:hint="eastAsia" w:ascii="仿宋_GB2312" w:hAnsi="Calibri" w:eastAsia="仿宋_GB2312" w:cs="Times New Roman"/>
          <w:kern w:val="2"/>
          <w:sz w:val="32"/>
          <w:szCs w:val="32"/>
          <w:lang w:val="en-US" w:eastAsia="zh-CN" w:bidi="ar-SA"/>
        </w:rPr>
      </w:pPr>
      <w:r>
        <w:rPr>
          <w:rFonts w:hint="eastAsia" w:ascii="仿宋_GB2312" w:eastAsia="仿宋_GB2312"/>
          <w:sz w:val="32"/>
          <w:szCs w:val="32"/>
          <w:lang w:val="en-US" w:eastAsia="zh-CN"/>
        </w:rPr>
        <w:t>附：1、</w:t>
      </w:r>
      <w:r>
        <w:rPr>
          <w:rFonts w:hint="eastAsia" w:ascii="仿宋_GB2312" w:hAnsi="Calibri" w:eastAsia="仿宋_GB2312" w:cs="Times New Roman"/>
          <w:kern w:val="2"/>
          <w:sz w:val="32"/>
          <w:szCs w:val="32"/>
          <w:lang w:val="en-US" w:eastAsia="zh-CN" w:bidi="ar-SA"/>
        </w:rPr>
        <w:t>“百日攻坚”集中行动统计表；</w:t>
      </w:r>
    </w:p>
    <w:p>
      <w:pPr>
        <w:keepNext w:val="0"/>
        <w:keepLines w:val="0"/>
        <w:pageBreakBefore w:val="0"/>
        <w:widowControl w:val="0"/>
        <w:numPr>
          <w:ilvl w:val="0"/>
          <w:numId w:val="0"/>
        </w:numPr>
        <w:kinsoku/>
        <w:wordWrap/>
        <w:overflowPunct/>
        <w:topLinePunct w:val="0"/>
        <w:autoSpaceDE/>
        <w:autoSpaceDN/>
        <w:bidi w:val="0"/>
        <w:adjustRightInd/>
        <w:snapToGrid/>
        <w:ind w:left="638" w:leftChars="304" w:firstLine="0" w:firstLineChars="0"/>
        <w:textAlignment w:val="auto"/>
        <w:rPr>
          <w:rFonts w:hint="eastAsia" w:ascii="仿宋_GB2312" w:hAnsi="Calibri"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2、</w:t>
      </w:r>
      <w:r>
        <w:rPr>
          <w:rFonts w:hint="eastAsia" w:ascii="仿宋_GB2312" w:hAnsi="Calibri" w:eastAsia="仿宋_GB2312" w:cs="Times New Roman"/>
          <w:kern w:val="2"/>
          <w:sz w:val="32"/>
          <w:szCs w:val="32"/>
          <w:lang w:val="en-US" w:eastAsia="zh-CN" w:bidi="ar-SA"/>
        </w:rPr>
        <w:t>非法违法生产经营建设行为、重大事故隐患统计表；</w:t>
      </w:r>
      <w:r>
        <w:rPr>
          <w:rFonts w:hint="eastAsia" w:ascii="仿宋_GB2312" w:eastAsia="仿宋_GB2312" w:cs="Times New Roman"/>
          <w:kern w:val="2"/>
          <w:sz w:val="32"/>
          <w:szCs w:val="32"/>
          <w:lang w:val="en-US" w:eastAsia="zh-CN" w:bidi="ar-SA"/>
        </w:rPr>
        <w:t>3、</w:t>
      </w:r>
      <w:r>
        <w:rPr>
          <w:rFonts w:hint="eastAsia" w:ascii="仿宋_GB2312" w:hAnsi="Calibri" w:eastAsia="仿宋_GB2312" w:cs="Times New Roman"/>
          <w:kern w:val="2"/>
          <w:sz w:val="32"/>
          <w:szCs w:val="32"/>
          <w:lang w:val="en-US" w:eastAsia="zh-CN" w:bidi="ar-SA"/>
        </w:rPr>
        <w:t>“百日攻坚”集中行动联络人</w:t>
      </w:r>
      <w:r>
        <w:rPr>
          <w:rFonts w:hint="eastAsia" w:ascii="仿宋_GB2312" w:eastAsia="仿宋_GB2312" w:cs="Times New Roman"/>
          <w:kern w:val="2"/>
          <w:sz w:val="32"/>
          <w:szCs w:val="32"/>
          <w:lang w:val="en-US" w:eastAsia="zh-CN" w:bidi="ar-SA"/>
        </w:rPr>
        <w:t>。</w:t>
      </w:r>
    </w:p>
    <w:p>
      <w:pPr>
        <w:spacing w:line="600" w:lineRule="exact"/>
        <w:rPr>
          <w:rFonts w:hint="eastAsia" w:ascii="仿宋_GB2312"/>
        </w:rPr>
      </w:pPr>
    </w:p>
    <w:p>
      <w:pPr>
        <w:pStyle w:val="8"/>
        <w:spacing w:line="600" w:lineRule="exact"/>
        <w:ind w:left="0" w:leftChars="0" w:firstLine="0" w:firstLineChars="0"/>
        <w:rPr>
          <w:rFonts w:hint="eastAsia" w:ascii="方正黑体_GBK" w:hAnsi="方正黑体_GBK" w:eastAsia="方正黑体_GBK" w:cs="方正黑体_GBK"/>
          <w:sz w:val="32"/>
          <w:szCs w:val="32"/>
        </w:rPr>
      </w:pPr>
    </w:p>
    <w:p>
      <w:pPr>
        <w:pStyle w:val="8"/>
        <w:spacing w:line="600" w:lineRule="exact"/>
        <w:ind w:left="0" w:leftChars="0" w:firstLine="4560" w:firstLineChars="1425"/>
        <w:rPr>
          <w:rFonts w:hint="default" w:ascii="仿宋_GB2312" w:eastAsia="仿宋_GB2312"/>
          <w:sz w:val="32"/>
          <w:szCs w:val="32"/>
          <w:lang w:val="en-US" w:eastAsia="zh-CN"/>
        </w:rPr>
      </w:pPr>
      <w:r>
        <w:rPr>
          <w:rFonts w:hint="eastAsia" w:ascii="仿宋_GB2312" w:eastAsia="仿宋_GB2312"/>
          <w:sz w:val="32"/>
          <w:szCs w:val="32"/>
          <w:lang w:val="en-US" w:eastAsia="zh-CN"/>
        </w:rPr>
        <w:t>薛圐圙乡人民政府</w:t>
      </w:r>
    </w:p>
    <w:p>
      <w:pPr>
        <w:pStyle w:val="8"/>
        <w:spacing w:line="600" w:lineRule="exact"/>
        <w:ind w:left="0" w:leftChars="0" w:firstLine="4764" w:firstLineChars="1489"/>
        <w:rPr>
          <w:rFonts w:hint="eastAsia" w:ascii="方正黑体_GBK" w:hAnsi="方正黑体_GBK" w:eastAsia="方正黑体_GBK" w:cs="方正黑体_GBK"/>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年1月1日</w:t>
      </w:r>
    </w:p>
    <w:p>
      <w:pPr>
        <w:pStyle w:val="8"/>
        <w:ind w:left="0" w:leftChars="0" w:firstLine="0" w:firstLineChars="0"/>
        <w:rPr>
          <w:rFonts w:hint="eastAsia" w:ascii="方正黑体_GBK" w:hAnsi="方正黑体_GBK" w:eastAsia="方正黑体_GBK" w:cs="方正黑体_GBK"/>
          <w:sz w:val="32"/>
          <w:szCs w:val="32"/>
        </w:rPr>
      </w:pPr>
    </w:p>
    <w:p>
      <w:pPr>
        <w:pStyle w:val="8"/>
        <w:ind w:left="0" w:leftChars="0" w:firstLine="0" w:firstLineChars="0"/>
        <w:rPr>
          <w:rFonts w:hint="eastAsia" w:ascii="方正黑体_GBK" w:hAnsi="方正黑体_GBK" w:eastAsia="方正黑体_GBK" w:cs="方正黑体_GBK"/>
          <w:sz w:val="32"/>
          <w:szCs w:val="32"/>
        </w:rPr>
      </w:pPr>
    </w:p>
    <w:p>
      <w:pPr>
        <w:rPr>
          <w:rFonts w:hint="eastAsia" w:ascii="方正黑体_GBK" w:hAnsi="方正黑体_GBK" w:eastAsia="方正黑体_GBK" w:cs="方正黑体_GBK"/>
          <w:sz w:val="32"/>
          <w:szCs w:val="32"/>
        </w:rPr>
        <w:sectPr>
          <w:footerReference r:id="rId3" w:type="default"/>
          <w:pgSz w:w="11906" w:h="16838"/>
          <w:pgMar w:top="1440" w:right="1800" w:bottom="1440" w:left="1800" w:header="851" w:footer="992" w:gutter="0"/>
          <w:pgNumType w:fmt="decimal"/>
          <w:cols w:space="425" w:num="1"/>
          <w:docGrid w:type="lines" w:linePitch="312" w:charSpace="0"/>
        </w:sectPr>
      </w:pPr>
    </w:p>
    <w:p>
      <w:pP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1</w:t>
      </w:r>
      <w:r>
        <w:rPr>
          <w:rFonts w:hint="eastAsia" w:ascii="方正黑体_GBK" w:hAnsi="方正黑体_GBK" w:eastAsia="方正黑体_GBK" w:cs="方正黑体_GBK"/>
          <w:sz w:val="32"/>
          <w:szCs w:val="32"/>
        </w:rPr>
        <w:t>：</w:t>
      </w:r>
    </w:p>
    <w:p>
      <w:pPr>
        <w:spacing w:line="598" w:lineRule="exact"/>
        <w:ind w:firstLine="880" w:firstLineChars="2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“百日攻坚”集中行动统计表</w:t>
      </w:r>
    </w:p>
    <w:p>
      <w:pPr>
        <w:rPr>
          <w:rFonts w:hint="eastAsia" w:ascii="仿宋_GB2312" w:hAnsi="仿宋_GB2312" w:eastAsia="仿宋_GB2312" w:cs="仿宋_GB2312"/>
          <w:sz w:val="32"/>
          <w:szCs w:val="32"/>
          <w:u w:val="single"/>
        </w:rPr>
      </w:pPr>
      <w:r>
        <w:rPr>
          <w:rFonts w:hint="eastAsia" w:ascii="仿宋_GB2312" w:hAnsi="仿宋_GB2312" w:eastAsia="仿宋_GB2312" w:cs="仿宋_GB2312"/>
          <w:sz w:val="28"/>
          <w:szCs w:val="28"/>
        </w:rPr>
        <w:t>填报单位：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 xml:space="preserve">           </w:t>
      </w:r>
      <w:r>
        <w:rPr>
          <w:rFonts w:hint="eastAsia" w:ascii="仿宋_GB2312" w:hAnsi="仿宋_GB2312" w:eastAsia="仿宋_GB2312" w:cs="仿宋_GB2312"/>
          <w:sz w:val="28"/>
          <w:szCs w:val="28"/>
        </w:rPr>
        <w:t>填表人：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填表日期：</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tbl>
      <w:tblPr>
        <w:tblStyle w:val="9"/>
        <w:tblW w:w="533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976"/>
        <w:gridCol w:w="961"/>
        <w:gridCol w:w="965"/>
        <w:gridCol w:w="977"/>
        <w:gridCol w:w="968"/>
        <w:gridCol w:w="998"/>
        <w:gridCol w:w="965"/>
        <w:gridCol w:w="650"/>
        <w:gridCol w:w="965"/>
        <w:gridCol w:w="965"/>
        <w:gridCol w:w="986"/>
        <w:gridCol w:w="1334"/>
        <w:gridCol w:w="1334"/>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5" w:hRule="atLeast"/>
          <w:jc w:val="center"/>
        </w:trPr>
        <w:tc>
          <w:tcPr>
            <w:tcW w:w="243" w:type="pct"/>
            <w:vMerge w:val="restart"/>
            <w:noWrap w:val="0"/>
            <w:vAlign w:val="center"/>
          </w:tcPr>
          <w:p>
            <w:pPr>
              <w:spacing w:line="120" w:lineRule="auto"/>
              <w:jc w:val="center"/>
              <w:rPr>
                <w:rFonts w:hint="eastAsia" w:ascii="宋体" w:hAnsi="宋体" w:cs="宋体"/>
                <w:kern w:val="0"/>
                <w:szCs w:val="21"/>
              </w:rPr>
            </w:pPr>
          </w:p>
          <w:p>
            <w:pPr>
              <w:snapToGrid w:val="0"/>
              <w:jc w:val="center"/>
              <w:rPr>
                <w:rFonts w:hint="eastAsia" w:ascii="宋体" w:hAnsi="宋体" w:cs="宋体"/>
                <w:spacing w:val="-11"/>
                <w:kern w:val="0"/>
                <w:szCs w:val="21"/>
              </w:rPr>
            </w:pPr>
            <w:r>
              <w:rPr>
                <w:rFonts w:hint="eastAsia" w:ascii="宋体" w:hAnsi="宋体" w:cs="宋体"/>
                <w:spacing w:val="-11"/>
                <w:kern w:val="0"/>
                <w:szCs w:val="21"/>
              </w:rPr>
              <w:t>单位</w:t>
            </w:r>
          </w:p>
          <w:p>
            <w:pPr>
              <w:spacing w:line="300" w:lineRule="exact"/>
              <w:jc w:val="center"/>
              <w:rPr>
                <w:rFonts w:hint="eastAsia" w:ascii="宋体" w:hAnsi="宋体" w:cs="宋体"/>
                <w:spacing w:val="-11"/>
                <w:kern w:val="0"/>
                <w:szCs w:val="21"/>
              </w:rPr>
            </w:pPr>
            <w:r>
              <w:rPr>
                <w:rFonts w:hint="eastAsia" w:ascii="宋体" w:hAnsi="宋体" w:cs="宋体"/>
                <w:spacing w:val="-11"/>
                <w:kern w:val="0"/>
                <w:szCs w:val="21"/>
              </w:rPr>
              <w:t>项目</w:t>
            </w:r>
          </w:p>
        </w:tc>
        <w:tc>
          <w:tcPr>
            <w:tcW w:w="323" w:type="pct"/>
            <w:vMerge w:val="restart"/>
            <w:noWrap w:val="0"/>
            <w:vAlign w:val="center"/>
          </w:tcPr>
          <w:p>
            <w:pPr>
              <w:spacing w:line="300" w:lineRule="exact"/>
              <w:jc w:val="center"/>
              <w:rPr>
                <w:rFonts w:hint="eastAsia" w:ascii="宋体" w:hAnsi="宋体" w:cs="宋体"/>
                <w:kern w:val="0"/>
                <w:szCs w:val="21"/>
              </w:rPr>
            </w:pPr>
            <w:r>
              <w:rPr>
                <w:rFonts w:hint="eastAsia" w:ascii="宋体" w:hAnsi="宋体" w:cs="宋体"/>
                <w:kern w:val="0"/>
                <w:szCs w:val="21"/>
              </w:rPr>
              <w:t>检查组</w:t>
            </w:r>
          </w:p>
        </w:tc>
        <w:tc>
          <w:tcPr>
            <w:tcW w:w="1609" w:type="pct"/>
            <w:gridSpan w:val="5"/>
            <w:noWrap w:val="0"/>
            <w:vAlign w:val="center"/>
          </w:tcPr>
          <w:p>
            <w:pPr>
              <w:spacing w:line="300" w:lineRule="exact"/>
              <w:jc w:val="center"/>
              <w:rPr>
                <w:rFonts w:hint="eastAsia" w:ascii="宋体" w:hAnsi="宋体" w:cs="宋体"/>
                <w:kern w:val="0"/>
                <w:szCs w:val="21"/>
              </w:rPr>
            </w:pPr>
            <w:r>
              <w:rPr>
                <w:rFonts w:hint="eastAsia" w:ascii="宋体" w:hAnsi="宋体" w:cs="宋体"/>
                <w:kern w:val="0"/>
                <w:szCs w:val="21"/>
              </w:rPr>
              <w:t>集中行动开展情况</w:t>
            </w:r>
          </w:p>
        </w:tc>
        <w:tc>
          <w:tcPr>
            <w:tcW w:w="1498" w:type="pct"/>
            <w:gridSpan w:val="5"/>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r>
              <w:rPr>
                <w:rFonts w:hint="eastAsia" w:ascii="宋体" w:hAnsi="宋体" w:cs="宋体"/>
                <w:kern w:val="0"/>
                <w:szCs w:val="21"/>
              </w:rPr>
              <w:t>执法情况</w:t>
            </w:r>
          </w:p>
        </w:tc>
        <w:tc>
          <w:tcPr>
            <w:tcW w:w="441" w:type="pct"/>
            <w:vMerge w:val="restart"/>
            <w:noWrap w:val="0"/>
            <w:vAlign w:val="center"/>
          </w:tcPr>
          <w:p>
            <w:pPr>
              <w:spacing w:line="300" w:lineRule="exact"/>
              <w:jc w:val="center"/>
              <w:rPr>
                <w:rFonts w:hint="eastAsia" w:ascii="宋体" w:hAnsi="宋体" w:cs="宋体"/>
                <w:kern w:val="0"/>
                <w:szCs w:val="21"/>
              </w:rPr>
            </w:pPr>
            <w:r>
              <w:rPr>
                <w:rFonts w:hint="eastAsia" w:ascii="宋体" w:hAnsi="宋体" w:cs="宋体"/>
                <w:kern w:val="0"/>
                <w:szCs w:val="21"/>
              </w:rPr>
              <w:t>处理人员情况</w:t>
            </w:r>
          </w:p>
          <w:p>
            <w:pPr>
              <w:spacing w:line="300" w:lineRule="exact"/>
              <w:jc w:val="center"/>
              <w:rPr>
                <w:rFonts w:hint="eastAsia" w:ascii="宋体" w:hAnsi="宋体" w:cs="宋体"/>
                <w:kern w:val="0"/>
                <w:szCs w:val="21"/>
              </w:rPr>
            </w:pPr>
            <w:r>
              <w:rPr>
                <w:rFonts w:hint="eastAsia" w:ascii="宋体" w:hAnsi="宋体" w:cs="宋体"/>
                <w:kern w:val="0"/>
                <w:szCs w:val="21"/>
              </w:rPr>
              <w:t>（党政</w:t>
            </w:r>
            <w:r>
              <w:rPr>
                <w:rFonts w:hint="eastAsia" w:ascii="宋体" w:hAnsi="宋体" w:cs="宋体"/>
                <w:kern w:val="0"/>
                <w:szCs w:val="21"/>
                <w:lang w:val="en-US" w:eastAsia="zh-CN"/>
              </w:rPr>
              <w:t>纪</w:t>
            </w:r>
            <w:r>
              <w:rPr>
                <w:rFonts w:hint="eastAsia" w:ascii="宋体" w:hAnsi="宋体" w:cs="宋体"/>
                <w:kern w:val="0"/>
                <w:szCs w:val="21"/>
              </w:rPr>
              <w:t>处分/追究刑事责任）</w:t>
            </w:r>
          </w:p>
        </w:tc>
        <w:tc>
          <w:tcPr>
            <w:tcW w:w="883" w:type="pct"/>
            <w:gridSpan w:val="2"/>
            <w:noWrap w:val="0"/>
            <w:vAlign w:val="center"/>
          </w:tcPr>
          <w:p>
            <w:pPr>
              <w:spacing w:line="300" w:lineRule="exact"/>
              <w:jc w:val="center"/>
              <w:rPr>
                <w:rFonts w:hint="eastAsia" w:ascii="宋体" w:hAnsi="宋体" w:cs="宋体"/>
                <w:kern w:val="0"/>
                <w:szCs w:val="21"/>
              </w:rPr>
            </w:pPr>
            <w:r>
              <w:rPr>
                <w:rFonts w:hint="eastAsia" w:ascii="宋体" w:hAnsi="宋体" w:cs="宋体"/>
                <w:kern w:val="0"/>
                <w:szCs w:val="21"/>
              </w:rPr>
              <w:t>问责曝光工作</w:t>
            </w:r>
          </w:p>
          <w:p>
            <w:pPr>
              <w:spacing w:line="300" w:lineRule="exact"/>
              <w:jc w:val="center"/>
              <w:rPr>
                <w:rFonts w:hint="eastAsia" w:ascii="宋体" w:hAnsi="宋体" w:cs="宋体"/>
                <w:kern w:val="0"/>
                <w:szCs w:val="21"/>
              </w:rPr>
            </w:pPr>
            <w:r>
              <w:rPr>
                <w:rFonts w:hint="eastAsia" w:ascii="宋体" w:hAnsi="宋体" w:cs="宋体"/>
                <w:kern w:val="0"/>
                <w:szCs w:val="21"/>
              </w:rPr>
              <w:t>不力情况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243" w:type="pct"/>
            <w:vMerge w:val="continue"/>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23" w:type="pct"/>
            <w:vMerge w:val="continue"/>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18" w:type="pct"/>
            <w:vMerge w:val="restart"/>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r>
              <w:rPr>
                <w:rFonts w:hint="eastAsia" w:ascii="宋体" w:hAnsi="宋体" w:cs="宋体"/>
                <w:kern w:val="0"/>
                <w:szCs w:val="21"/>
              </w:rPr>
              <w:t>检查</w:t>
            </w:r>
          </w:p>
          <w:p>
            <w:pPr>
              <w:spacing w:line="300" w:lineRule="exact"/>
              <w:jc w:val="center"/>
              <w:rPr>
                <w:rFonts w:hint="eastAsia" w:ascii="宋体" w:hAnsi="宋体" w:cs="宋体"/>
                <w:kern w:val="0"/>
                <w:szCs w:val="21"/>
              </w:rPr>
            </w:pPr>
            <w:r>
              <w:rPr>
                <w:rFonts w:hint="eastAsia" w:ascii="宋体" w:hAnsi="宋体" w:cs="宋体"/>
                <w:kern w:val="0"/>
                <w:szCs w:val="21"/>
              </w:rPr>
              <w:t>企业</w:t>
            </w:r>
          </w:p>
        </w:tc>
        <w:tc>
          <w:tcPr>
            <w:tcW w:w="642" w:type="pct"/>
            <w:gridSpan w:val="2"/>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r>
              <w:rPr>
                <w:rFonts w:hint="eastAsia" w:ascii="宋体" w:hAnsi="宋体" w:cs="宋体"/>
                <w:kern w:val="0"/>
                <w:szCs w:val="21"/>
              </w:rPr>
              <w:t>非法违法生产经营建设行为案例</w:t>
            </w:r>
          </w:p>
        </w:tc>
        <w:tc>
          <w:tcPr>
            <w:tcW w:w="648" w:type="pct"/>
            <w:gridSpan w:val="2"/>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r>
              <w:rPr>
                <w:rFonts w:hint="eastAsia" w:ascii="宋体" w:hAnsi="宋体" w:cs="宋体"/>
                <w:kern w:val="0"/>
                <w:szCs w:val="21"/>
              </w:rPr>
              <w:t>重大隐患</w:t>
            </w:r>
          </w:p>
        </w:tc>
        <w:tc>
          <w:tcPr>
            <w:tcW w:w="319" w:type="pct"/>
            <w:vMerge w:val="restart"/>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r>
              <w:rPr>
                <w:rFonts w:hint="eastAsia" w:ascii="宋体" w:hAnsi="宋体" w:cs="宋体"/>
                <w:kern w:val="0"/>
                <w:szCs w:val="21"/>
              </w:rPr>
              <w:t>责令限期整改企业</w:t>
            </w:r>
          </w:p>
        </w:tc>
        <w:tc>
          <w:tcPr>
            <w:tcW w:w="215" w:type="pct"/>
            <w:vMerge w:val="restart"/>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r>
              <w:rPr>
                <w:rFonts w:hint="eastAsia" w:ascii="宋体" w:hAnsi="宋体" w:cs="宋体"/>
                <w:kern w:val="0"/>
                <w:szCs w:val="21"/>
              </w:rPr>
              <w:t>行政</w:t>
            </w:r>
          </w:p>
          <w:p>
            <w:pPr>
              <w:spacing w:line="300" w:lineRule="exact"/>
              <w:jc w:val="center"/>
              <w:rPr>
                <w:rFonts w:hint="eastAsia" w:ascii="宋体" w:hAnsi="宋体" w:cs="宋体"/>
                <w:kern w:val="0"/>
                <w:szCs w:val="21"/>
              </w:rPr>
            </w:pPr>
            <w:r>
              <w:rPr>
                <w:rFonts w:hint="eastAsia" w:ascii="宋体" w:hAnsi="宋体" w:cs="宋体"/>
                <w:kern w:val="0"/>
                <w:szCs w:val="21"/>
              </w:rPr>
              <w:t>罚款</w:t>
            </w:r>
          </w:p>
        </w:tc>
        <w:tc>
          <w:tcPr>
            <w:tcW w:w="319" w:type="pct"/>
            <w:vMerge w:val="restart"/>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r>
              <w:rPr>
                <w:rFonts w:hint="eastAsia" w:ascii="宋体" w:hAnsi="宋体" w:cs="宋体"/>
                <w:kern w:val="0"/>
                <w:szCs w:val="21"/>
              </w:rPr>
              <w:t>停产</w:t>
            </w:r>
          </w:p>
          <w:p>
            <w:pPr>
              <w:spacing w:line="300" w:lineRule="exact"/>
              <w:jc w:val="center"/>
              <w:rPr>
                <w:rFonts w:hint="eastAsia" w:ascii="宋体" w:hAnsi="宋体" w:cs="宋体"/>
                <w:kern w:val="0"/>
                <w:szCs w:val="21"/>
              </w:rPr>
            </w:pPr>
            <w:r>
              <w:rPr>
                <w:rFonts w:hint="eastAsia" w:ascii="宋体" w:hAnsi="宋体" w:cs="宋体"/>
                <w:kern w:val="0"/>
                <w:szCs w:val="21"/>
              </w:rPr>
              <w:t>整顿</w:t>
            </w:r>
          </w:p>
        </w:tc>
        <w:tc>
          <w:tcPr>
            <w:tcW w:w="319" w:type="pct"/>
            <w:vMerge w:val="restart"/>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r>
              <w:rPr>
                <w:rFonts w:hint="eastAsia" w:ascii="宋体" w:hAnsi="宋体" w:cs="宋体"/>
                <w:kern w:val="0"/>
                <w:szCs w:val="21"/>
              </w:rPr>
              <w:t>暂扣吊销</w:t>
            </w:r>
          </w:p>
          <w:p>
            <w:pPr>
              <w:spacing w:line="300" w:lineRule="exact"/>
              <w:jc w:val="center"/>
              <w:rPr>
                <w:rFonts w:hint="eastAsia" w:ascii="宋体" w:hAnsi="宋体" w:cs="宋体"/>
                <w:kern w:val="0"/>
                <w:szCs w:val="21"/>
              </w:rPr>
            </w:pPr>
            <w:r>
              <w:rPr>
                <w:rFonts w:hint="eastAsia" w:ascii="宋体" w:hAnsi="宋体" w:cs="宋体"/>
                <w:kern w:val="0"/>
                <w:szCs w:val="21"/>
              </w:rPr>
              <w:t>证照</w:t>
            </w:r>
          </w:p>
        </w:tc>
        <w:tc>
          <w:tcPr>
            <w:tcW w:w="325" w:type="pct"/>
            <w:vMerge w:val="restart"/>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r>
              <w:rPr>
                <w:rFonts w:hint="eastAsia" w:ascii="宋体" w:hAnsi="宋体" w:cs="宋体"/>
                <w:kern w:val="0"/>
                <w:szCs w:val="21"/>
              </w:rPr>
              <w:t>关闭</w:t>
            </w:r>
          </w:p>
          <w:p>
            <w:pPr>
              <w:spacing w:line="300" w:lineRule="exact"/>
              <w:jc w:val="center"/>
              <w:rPr>
                <w:rFonts w:hint="eastAsia" w:ascii="宋体" w:hAnsi="宋体" w:cs="宋体"/>
                <w:kern w:val="0"/>
                <w:szCs w:val="21"/>
              </w:rPr>
            </w:pPr>
            <w:r>
              <w:rPr>
                <w:rFonts w:hint="eastAsia" w:ascii="宋体" w:hAnsi="宋体" w:cs="宋体"/>
                <w:kern w:val="0"/>
                <w:szCs w:val="21"/>
              </w:rPr>
              <w:t>取缔</w:t>
            </w:r>
          </w:p>
        </w:tc>
        <w:tc>
          <w:tcPr>
            <w:tcW w:w="441" w:type="pct"/>
            <w:vMerge w:val="continue"/>
            <w:noWrap w:val="0"/>
            <w:vAlign w:val="center"/>
          </w:tcPr>
          <w:p>
            <w:pPr>
              <w:spacing w:line="300" w:lineRule="exact"/>
              <w:jc w:val="center"/>
              <w:rPr>
                <w:rFonts w:hint="eastAsia" w:ascii="宋体" w:hAnsi="宋体" w:cs="宋体"/>
                <w:kern w:val="0"/>
                <w:szCs w:val="21"/>
              </w:rPr>
            </w:pPr>
          </w:p>
        </w:tc>
        <w:tc>
          <w:tcPr>
            <w:tcW w:w="441" w:type="pct"/>
            <w:vMerge w:val="restart"/>
            <w:noWrap w:val="0"/>
            <w:vAlign w:val="center"/>
          </w:tcPr>
          <w:p>
            <w:pPr>
              <w:spacing w:line="300" w:lineRule="exact"/>
              <w:jc w:val="center"/>
              <w:rPr>
                <w:rFonts w:hint="eastAsia" w:ascii="宋体" w:hAnsi="宋体" w:cs="宋体"/>
                <w:kern w:val="0"/>
                <w:szCs w:val="21"/>
              </w:rPr>
            </w:pPr>
            <w:r>
              <w:rPr>
                <w:rFonts w:hint="eastAsia" w:ascii="宋体" w:hAnsi="宋体" w:cs="宋体"/>
                <w:kern w:val="0"/>
                <w:szCs w:val="21"/>
              </w:rPr>
              <w:t>曝光</w:t>
            </w:r>
          </w:p>
          <w:p>
            <w:pPr>
              <w:spacing w:line="300" w:lineRule="exact"/>
              <w:jc w:val="center"/>
              <w:rPr>
                <w:rFonts w:hint="eastAsia" w:ascii="宋体" w:hAnsi="宋体" w:cs="宋体"/>
                <w:kern w:val="0"/>
                <w:szCs w:val="21"/>
              </w:rPr>
            </w:pPr>
            <w:r>
              <w:rPr>
                <w:rFonts w:hint="eastAsia" w:ascii="宋体" w:hAnsi="宋体" w:cs="宋体"/>
                <w:kern w:val="0"/>
                <w:szCs w:val="21"/>
              </w:rPr>
              <w:t>单位</w:t>
            </w:r>
          </w:p>
        </w:tc>
        <w:tc>
          <w:tcPr>
            <w:tcW w:w="442" w:type="pct"/>
            <w:vMerge w:val="restart"/>
            <w:noWrap w:val="0"/>
            <w:vAlign w:val="center"/>
          </w:tcPr>
          <w:p>
            <w:pPr>
              <w:spacing w:line="300" w:lineRule="exact"/>
              <w:jc w:val="center"/>
              <w:rPr>
                <w:rFonts w:hint="eastAsia" w:ascii="宋体" w:hAnsi="宋体" w:cs="宋体"/>
                <w:kern w:val="0"/>
                <w:szCs w:val="21"/>
              </w:rPr>
            </w:pPr>
            <w:r>
              <w:rPr>
                <w:rFonts w:hint="eastAsia" w:ascii="宋体" w:hAnsi="宋体" w:cs="宋体"/>
                <w:kern w:val="0"/>
                <w:szCs w:val="21"/>
              </w:rPr>
              <w:t>典型案例（详情另报）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243" w:type="pct"/>
            <w:vMerge w:val="continue"/>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23" w:type="pct"/>
            <w:vMerge w:val="continue"/>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18" w:type="pct"/>
            <w:vMerge w:val="continue"/>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19" w:type="pct"/>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r>
              <w:rPr>
                <w:rFonts w:hint="eastAsia" w:ascii="宋体" w:hAnsi="宋体" w:cs="宋体"/>
                <w:kern w:val="0"/>
                <w:szCs w:val="21"/>
              </w:rPr>
              <w:t>排查</w:t>
            </w:r>
          </w:p>
        </w:tc>
        <w:tc>
          <w:tcPr>
            <w:tcW w:w="322" w:type="pct"/>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r>
              <w:rPr>
                <w:rFonts w:hint="eastAsia" w:ascii="宋体" w:hAnsi="宋体" w:cs="宋体"/>
                <w:kern w:val="0"/>
                <w:szCs w:val="21"/>
              </w:rPr>
              <w:t>查处</w:t>
            </w:r>
          </w:p>
        </w:tc>
        <w:tc>
          <w:tcPr>
            <w:tcW w:w="320" w:type="pct"/>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r>
              <w:rPr>
                <w:rFonts w:hint="eastAsia" w:ascii="宋体" w:hAnsi="宋体" w:cs="宋体"/>
                <w:kern w:val="0"/>
                <w:szCs w:val="21"/>
              </w:rPr>
              <w:t>排查</w:t>
            </w:r>
          </w:p>
        </w:tc>
        <w:tc>
          <w:tcPr>
            <w:tcW w:w="328" w:type="pct"/>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r>
              <w:rPr>
                <w:rFonts w:hint="eastAsia" w:ascii="宋体" w:hAnsi="宋体" w:cs="宋体"/>
                <w:kern w:val="0"/>
                <w:szCs w:val="21"/>
              </w:rPr>
              <w:t>整改</w:t>
            </w:r>
          </w:p>
        </w:tc>
        <w:tc>
          <w:tcPr>
            <w:tcW w:w="319" w:type="pct"/>
            <w:vMerge w:val="continue"/>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215" w:type="pct"/>
            <w:vMerge w:val="continue"/>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19" w:type="pct"/>
            <w:vMerge w:val="continue"/>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19" w:type="pct"/>
            <w:vMerge w:val="continue"/>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25" w:type="pct"/>
            <w:vMerge w:val="continue"/>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441" w:type="pct"/>
            <w:vMerge w:val="continue"/>
            <w:noWrap w:val="0"/>
            <w:vAlign w:val="center"/>
          </w:tcPr>
          <w:p>
            <w:pPr>
              <w:spacing w:line="300" w:lineRule="exact"/>
              <w:jc w:val="center"/>
              <w:rPr>
                <w:rFonts w:hint="eastAsia" w:ascii="宋体" w:hAnsi="宋体" w:cs="宋体"/>
                <w:kern w:val="0"/>
                <w:szCs w:val="21"/>
              </w:rPr>
            </w:pPr>
          </w:p>
        </w:tc>
        <w:tc>
          <w:tcPr>
            <w:tcW w:w="441" w:type="pct"/>
            <w:vMerge w:val="continue"/>
            <w:noWrap w:val="0"/>
            <w:vAlign w:val="center"/>
          </w:tcPr>
          <w:p>
            <w:pPr>
              <w:spacing w:line="300" w:lineRule="exact"/>
              <w:jc w:val="center"/>
              <w:rPr>
                <w:rFonts w:hint="eastAsia" w:ascii="宋体" w:hAnsi="宋体" w:cs="宋体"/>
                <w:kern w:val="0"/>
                <w:szCs w:val="21"/>
              </w:rPr>
            </w:pPr>
          </w:p>
        </w:tc>
        <w:tc>
          <w:tcPr>
            <w:tcW w:w="442" w:type="pct"/>
            <w:vMerge w:val="continue"/>
            <w:noWrap w:val="0"/>
            <w:vAlign w:val="center"/>
          </w:tcPr>
          <w:p>
            <w:pPr>
              <w:spacing w:line="30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243" w:type="pct"/>
            <w:vMerge w:val="continue"/>
            <w:noWrap w:val="0"/>
            <w:tcMar>
              <w:top w:w="0" w:type="dxa"/>
              <w:left w:w="0" w:type="dxa"/>
              <w:bottom w:w="0" w:type="dxa"/>
              <w:right w:w="0" w:type="dxa"/>
            </w:tcMar>
            <w:vAlign w:val="center"/>
          </w:tcPr>
          <w:p>
            <w:pPr>
              <w:spacing w:line="300" w:lineRule="exact"/>
              <w:jc w:val="center"/>
              <w:rPr>
                <w:rFonts w:hint="eastAsia" w:ascii="宋体" w:hAnsi="宋体" w:cs="宋体"/>
                <w:spacing w:val="-11"/>
                <w:kern w:val="0"/>
                <w:szCs w:val="21"/>
              </w:rPr>
            </w:pPr>
          </w:p>
        </w:tc>
        <w:tc>
          <w:tcPr>
            <w:tcW w:w="323" w:type="pct"/>
            <w:noWrap w:val="0"/>
            <w:tcMar>
              <w:top w:w="0" w:type="dxa"/>
              <w:left w:w="0" w:type="dxa"/>
              <w:bottom w:w="0" w:type="dxa"/>
              <w:right w:w="0" w:type="dxa"/>
            </w:tcMar>
            <w:vAlign w:val="center"/>
          </w:tcPr>
          <w:p>
            <w:pPr>
              <w:spacing w:line="300" w:lineRule="exact"/>
              <w:jc w:val="center"/>
              <w:rPr>
                <w:rFonts w:hint="eastAsia" w:ascii="宋体" w:hAnsi="宋体" w:cs="宋体"/>
                <w:spacing w:val="-11"/>
                <w:kern w:val="0"/>
                <w:szCs w:val="21"/>
              </w:rPr>
            </w:pPr>
            <w:r>
              <w:rPr>
                <w:rFonts w:hint="eastAsia" w:ascii="宋体" w:hAnsi="宋体" w:cs="宋体"/>
                <w:spacing w:val="-11"/>
                <w:kern w:val="0"/>
                <w:szCs w:val="21"/>
              </w:rPr>
              <w:t>（个）</w:t>
            </w:r>
          </w:p>
        </w:tc>
        <w:tc>
          <w:tcPr>
            <w:tcW w:w="318" w:type="pct"/>
            <w:noWrap w:val="0"/>
            <w:tcMar>
              <w:top w:w="0" w:type="dxa"/>
              <w:left w:w="0" w:type="dxa"/>
              <w:bottom w:w="0" w:type="dxa"/>
              <w:right w:w="0" w:type="dxa"/>
            </w:tcMar>
            <w:vAlign w:val="center"/>
          </w:tcPr>
          <w:p>
            <w:pPr>
              <w:spacing w:line="300" w:lineRule="exact"/>
              <w:jc w:val="center"/>
              <w:rPr>
                <w:rFonts w:hint="eastAsia" w:ascii="宋体" w:hAnsi="宋体" w:cs="宋体"/>
                <w:spacing w:val="-11"/>
                <w:kern w:val="0"/>
                <w:szCs w:val="21"/>
              </w:rPr>
            </w:pPr>
            <w:r>
              <w:rPr>
                <w:rFonts w:hint="eastAsia" w:ascii="宋体" w:hAnsi="宋体" w:cs="宋体"/>
                <w:spacing w:val="-11"/>
                <w:kern w:val="0"/>
                <w:szCs w:val="21"/>
              </w:rPr>
              <w:t>（家）</w:t>
            </w:r>
          </w:p>
        </w:tc>
        <w:tc>
          <w:tcPr>
            <w:tcW w:w="319" w:type="pct"/>
            <w:noWrap w:val="0"/>
            <w:tcMar>
              <w:top w:w="0" w:type="dxa"/>
              <w:left w:w="0" w:type="dxa"/>
              <w:bottom w:w="0" w:type="dxa"/>
              <w:right w:w="0" w:type="dxa"/>
            </w:tcMar>
            <w:vAlign w:val="center"/>
          </w:tcPr>
          <w:p>
            <w:pPr>
              <w:spacing w:line="300" w:lineRule="exact"/>
              <w:jc w:val="center"/>
              <w:rPr>
                <w:rFonts w:hint="eastAsia" w:ascii="宋体" w:hAnsi="宋体" w:cs="宋体"/>
                <w:spacing w:val="-11"/>
                <w:kern w:val="0"/>
                <w:szCs w:val="21"/>
              </w:rPr>
            </w:pPr>
            <w:r>
              <w:rPr>
                <w:rFonts w:hint="eastAsia" w:ascii="宋体" w:hAnsi="宋体" w:cs="宋体"/>
                <w:spacing w:val="-11"/>
                <w:kern w:val="0"/>
                <w:szCs w:val="21"/>
              </w:rPr>
              <w:t>（个）</w:t>
            </w:r>
          </w:p>
        </w:tc>
        <w:tc>
          <w:tcPr>
            <w:tcW w:w="322" w:type="pct"/>
            <w:noWrap w:val="0"/>
            <w:tcMar>
              <w:top w:w="0" w:type="dxa"/>
              <w:left w:w="0" w:type="dxa"/>
              <w:bottom w:w="0" w:type="dxa"/>
              <w:right w:w="0" w:type="dxa"/>
            </w:tcMar>
            <w:vAlign w:val="center"/>
          </w:tcPr>
          <w:p>
            <w:pPr>
              <w:spacing w:line="300" w:lineRule="exact"/>
              <w:jc w:val="center"/>
              <w:rPr>
                <w:rFonts w:hint="eastAsia" w:ascii="宋体" w:hAnsi="宋体" w:cs="宋体"/>
                <w:spacing w:val="-11"/>
                <w:kern w:val="0"/>
                <w:szCs w:val="21"/>
              </w:rPr>
            </w:pPr>
            <w:r>
              <w:rPr>
                <w:rFonts w:hint="eastAsia" w:ascii="宋体" w:hAnsi="宋体" w:cs="宋体"/>
                <w:spacing w:val="-11"/>
                <w:kern w:val="0"/>
                <w:szCs w:val="21"/>
              </w:rPr>
              <w:t>（个）</w:t>
            </w:r>
          </w:p>
        </w:tc>
        <w:tc>
          <w:tcPr>
            <w:tcW w:w="320" w:type="pct"/>
            <w:noWrap w:val="0"/>
            <w:tcMar>
              <w:top w:w="0" w:type="dxa"/>
              <w:left w:w="0" w:type="dxa"/>
              <w:bottom w:w="0" w:type="dxa"/>
              <w:right w:w="0" w:type="dxa"/>
            </w:tcMar>
            <w:vAlign w:val="center"/>
          </w:tcPr>
          <w:p>
            <w:pPr>
              <w:spacing w:line="300" w:lineRule="exact"/>
              <w:jc w:val="center"/>
              <w:rPr>
                <w:rFonts w:hint="eastAsia" w:ascii="宋体" w:hAnsi="宋体" w:cs="宋体"/>
                <w:spacing w:val="-11"/>
                <w:kern w:val="0"/>
                <w:szCs w:val="21"/>
              </w:rPr>
            </w:pPr>
            <w:r>
              <w:rPr>
                <w:rFonts w:hint="eastAsia" w:ascii="宋体" w:hAnsi="宋体" w:cs="宋体"/>
                <w:spacing w:val="-11"/>
                <w:kern w:val="0"/>
                <w:szCs w:val="21"/>
              </w:rPr>
              <w:t>（项）</w:t>
            </w:r>
          </w:p>
        </w:tc>
        <w:tc>
          <w:tcPr>
            <w:tcW w:w="328" w:type="pct"/>
            <w:noWrap w:val="0"/>
            <w:tcMar>
              <w:top w:w="0" w:type="dxa"/>
              <w:left w:w="0" w:type="dxa"/>
              <w:bottom w:w="0" w:type="dxa"/>
              <w:right w:w="0" w:type="dxa"/>
            </w:tcMar>
            <w:vAlign w:val="center"/>
          </w:tcPr>
          <w:p>
            <w:pPr>
              <w:spacing w:line="300" w:lineRule="exact"/>
              <w:jc w:val="center"/>
              <w:rPr>
                <w:rFonts w:hint="eastAsia" w:ascii="宋体" w:hAnsi="宋体" w:cs="宋体"/>
                <w:spacing w:val="-11"/>
                <w:kern w:val="0"/>
                <w:szCs w:val="21"/>
              </w:rPr>
            </w:pPr>
            <w:r>
              <w:rPr>
                <w:rFonts w:hint="eastAsia" w:ascii="宋体" w:hAnsi="宋体" w:cs="宋体"/>
                <w:spacing w:val="-11"/>
                <w:kern w:val="0"/>
                <w:szCs w:val="21"/>
              </w:rPr>
              <w:t>（项）</w:t>
            </w:r>
          </w:p>
        </w:tc>
        <w:tc>
          <w:tcPr>
            <w:tcW w:w="319" w:type="pct"/>
            <w:noWrap w:val="0"/>
            <w:tcMar>
              <w:top w:w="0" w:type="dxa"/>
              <w:left w:w="0" w:type="dxa"/>
              <w:bottom w:w="0" w:type="dxa"/>
              <w:right w:w="0" w:type="dxa"/>
            </w:tcMar>
            <w:vAlign w:val="center"/>
          </w:tcPr>
          <w:p>
            <w:pPr>
              <w:spacing w:line="300" w:lineRule="exact"/>
              <w:jc w:val="center"/>
              <w:rPr>
                <w:rFonts w:hint="eastAsia" w:ascii="宋体" w:hAnsi="宋体" w:cs="宋体"/>
                <w:spacing w:val="-11"/>
                <w:kern w:val="0"/>
                <w:szCs w:val="21"/>
              </w:rPr>
            </w:pPr>
            <w:r>
              <w:rPr>
                <w:rFonts w:hint="eastAsia" w:ascii="宋体" w:hAnsi="宋体" w:cs="宋体"/>
                <w:spacing w:val="-11"/>
                <w:kern w:val="0"/>
                <w:szCs w:val="21"/>
              </w:rPr>
              <w:t>（家）</w:t>
            </w:r>
          </w:p>
        </w:tc>
        <w:tc>
          <w:tcPr>
            <w:tcW w:w="215" w:type="pct"/>
            <w:noWrap w:val="0"/>
            <w:tcMar>
              <w:top w:w="0" w:type="dxa"/>
              <w:left w:w="0" w:type="dxa"/>
              <w:bottom w:w="0" w:type="dxa"/>
              <w:right w:w="0" w:type="dxa"/>
            </w:tcMar>
            <w:vAlign w:val="center"/>
          </w:tcPr>
          <w:p>
            <w:pPr>
              <w:spacing w:line="300" w:lineRule="exact"/>
              <w:jc w:val="center"/>
              <w:rPr>
                <w:rFonts w:hint="eastAsia" w:ascii="宋体" w:hAnsi="宋体" w:cs="宋体"/>
                <w:spacing w:val="-11"/>
                <w:kern w:val="0"/>
                <w:szCs w:val="21"/>
              </w:rPr>
            </w:pPr>
            <w:r>
              <w:rPr>
                <w:rFonts w:hint="eastAsia" w:ascii="宋体" w:hAnsi="宋体" w:cs="宋体"/>
                <w:spacing w:val="-11"/>
                <w:kern w:val="0"/>
                <w:szCs w:val="21"/>
              </w:rPr>
              <w:t>（万元）</w:t>
            </w:r>
          </w:p>
        </w:tc>
        <w:tc>
          <w:tcPr>
            <w:tcW w:w="319" w:type="pct"/>
            <w:noWrap w:val="0"/>
            <w:tcMar>
              <w:top w:w="0" w:type="dxa"/>
              <w:left w:w="0" w:type="dxa"/>
              <w:bottom w:w="0" w:type="dxa"/>
              <w:right w:w="0" w:type="dxa"/>
            </w:tcMar>
            <w:vAlign w:val="center"/>
          </w:tcPr>
          <w:p>
            <w:pPr>
              <w:spacing w:line="300" w:lineRule="exact"/>
              <w:jc w:val="center"/>
              <w:rPr>
                <w:rFonts w:hint="eastAsia" w:ascii="宋体" w:hAnsi="宋体" w:cs="宋体"/>
                <w:spacing w:val="-11"/>
                <w:kern w:val="0"/>
                <w:szCs w:val="21"/>
              </w:rPr>
            </w:pPr>
            <w:r>
              <w:rPr>
                <w:rFonts w:hint="eastAsia" w:ascii="宋体" w:hAnsi="宋体" w:cs="宋体"/>
                <w:spacing w:val="-11"/>
                <w:kern w:val="0"/>
                <w:szCs w:val="21"/>
              </w:rPr>
              <w:t>（家）</w:t>
            </w:r>
          </w:p>
        </w:tc>
        <w:tc>
          <w:tcPr>
            <w:tcW w:w="319" w:type="pct"/>
            <w:noWrap w:val="0"/>
            <w:tcMar>
              <w:top w:w="0" w:type="dxa"/>
              <w:left w:w="0" w:type="dxa"/>
              <w:bottom w:w="0" w:type="dxa"/>
              <w:right w:w="0" w:type="dxa"/>
            </w:tcMar>
            <w:vAlign w:val="center"/>
          </w:tcPr>
          <w:p>
            <w:pPr>
              <w:spacing w:line="300" w:lineRule="exact"/>
              <w:jc w:val="center"/>
              <w:rPr>
                <w:rFonts w:hint="eastAsia" w:ascii="宋体" w:hAnsi="宋体" w:cs="宋体"/>
                <w:spacing w:val="-11"/>
                <w:kern w:val="0"/>
                <w:szCs w:val="21"/>
              </w:rPr>
            </w:pPr>
            <w:r>
              <w:rPr>
                <w:rFonts w:hint="eastAsia" w:ascii="宋体" w:hAnsi="宋体" w:cs="宋体"/>
                <w:spacing w:val="-11"/>
                <w:kern w:val="0"/>
                <w:szCs w:val="21"/>
              </w:rPr>
              <w:t>（个）</w:t>
            </w:r>
          </w:p>
        </w:tc>
        <w:tc>
          <w:tcPr>
            <w:tcW w:w="325" w:type="pct"/>
            <w:noWrap w:val="0"/>
            <w:tcMar>
              <w:top w:w="0" w:type="dxa"/>
              <w:left w:w="0" w:type="dxa"/>
              <w:bottom w:w="0" w:type="dxa"/>
              <w:right w:w="0" w:type="dxa"/>
            </w:tcMar>
            <w:vAlign w:val="center"/>
          </w:tcPr>
          <w:p>
            <w:pPr>
              <w:spacing w:line="300" w:lineRule="exact"/>
              <w:jc w:val="center"/>
              <w:rPr>
                <w:rFonts w:hint="eastAsia" w:ascii="宋体" w:hAnsi="宋体" w:cs="宋体"/>
                <w:spacing w:val="-11"/>
                <w:kern w:val="0"/>
                <w:szCs w:val="21"/>
              </w:rPr>
            </w:pPr>
            <w:r>
              <w:rPr>
                <w:rFonts w:hint="eastAsia" w:ascii="宋体" w:hAnsi="宋体" w:cs="宋体"/>
                <w:spacing w:val="-11"/>
                <w:kern w:val="0"/>
                <w:szCs w:val="21"/>
              </w:rPr>
              <w:t>（家）</w:t>
            </w:r>
          </w:p>
        </w:tc>
        <w:tc>
          <w:tcPr>
            <w:tcW w:w="441" w:type="pct"/>
            <w:noWrap w:val="0"/>
            <w:vAlign w:val="center"/>
          </w:tcPr>
          <w:p>
            <w:pPr>
              <w:spacing w:line="300" w:lineRule="exact"/>
              <w:jc w:val="center"/>
              <w:rPr>
                <w:rFonts w:hint="eastAsia" w:ascii="宋体" w:hAnsi="宋体" w:cs="宋体"/>
                <w:spacing w:val="-11"/>
                <w:kern w:val="0"/>
                <w:szCs w:val="21"/>
              </w:rPr>
            </w:pPr>
            <w:r>
              <w:rPr>
                <w:rFonts w:hint="eastAsia" w:ascii="宋体" w:hAnsi="宋体" w:cs="宋体"/>
                <w:spacing w:val="-11"/>
                <w:kern w:val="0"/>
                <w:szCs w:val="21"/>
              </w:rPr>
              <w:t>（人）</w:t>
            </w:r>
          </w:p>
        </w:tc>
        <w:tc>
          <w:tcPr>
            <w:tcW w:w="441" w:type="pct"/>
            <w:noWrap w:val="0"/>
            <w:vAlign w:val="center"/>
          </w:tcPr>
          <w:p>
            <w:pPr>
              <w:spacing w:line="300" w:lineRule="exact"/>
              <w:jc w:val="center"/>
              <w:rPr>
                <w:rFonts w:hint="eastAsia" w:ascii="宋体" w:hAnsi="宋体" w:cs="宋体"/>
                <w:spacing w:val="-11"/>
                <w:kern w:val="0"/>
                <w:szCs w:val="21"/>
              </w:rPr>
            </w:pPr>
            <w:r>
              <w:rPr>
                <w:rFonts w:hint="eastAsia" w:ascii="宋体" w:hAnsi="宋体" w:cs="宋体"/>
                <w:spacing w:val="-11"/>
                <w:kern w:val="0"/>
                <w:szCs w:val="21"/>
              </w:rPr>
              <w:t>（家）</w:t>
            </w:r>
          </w:p>
        </w:tc>
        <w:tc>
          <w:tcPr>
            <w:tcW w:w="442" w:type="pct"/>
            <w:noWrap w:val="0"/>
            <w:vAlign w:val="center"/>
          </w:tcPr>
          <w:p>
            <w:pPr>
              <w:spacing w:line="300" w:lineRule="exact"/>
              <w:jc w:val="center"/>
              <w:rPr>
                <w:rFonts w:hint="eastAsia" w:ascii="宋体" w:hAnsi="宋体" w:cs="宋体"/>
                <w:spacing w:val="-11"/>
                <w:kern w:val="0"/>
                <w:szCs w:val="21"/>
              </w:rPr>
            </w:pPr>
            <w:r>
              <w:rPr>
                <w:rFonts w:hint="eastAsia" w:ascii="宋体" w:hAnsi="宋体" w:cs="宋体"/>
                <w:spacing w:val="-11"/>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243"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r>
              <w:rPr>
                <w:rFonts w:hint="eastAsia" w:ascii="宋体" w:hAnsi="宋体" w:cs="宋体"/>
                <w:kern w:val="0"/>
                <w:szCs w:val="21"/>
              </w:rPr>
              <w:t>总计</w:t>
            </w:r>
          </w:p>
        </w:tc>
        <w:tc>
          <w:tcPr>
            <w:tcW w:w="323"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18"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19"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22"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20"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28"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19"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215"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19"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19"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25"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441"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s="宋体"/>
                <w:kern w:val="0"/>
                <w:szCs w:val="21"/>
                <w:lang w:val="en"/>
              </w:rPr>
            </w:pPr>
            <w:r>
              <w:rPr>
                <w:rFonts w:ascii="宋体" w:hAnsi="宋体" w:cs="宋体"/>
                <w:kern w:val="0"/>
                <w:szCs w:val="21"/>
                <w:lang w:val="en"/>
              </w:rPr>
              <w:t>/</w:t>
            </w:r>
          </w:p>
        </w:tc>
        <w:tc>
          <w:tcPr>
            <w:tcW w:w="441" w:type="pct"/>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宋体" w:hAnsi="宋体" w:cs="宋体"/>
                <w:kern w:val="0"/>
                <w:szCs w:val="21"/>
              </w:rPr>
            </w:pPr>
          </w:p>
        </w:tc>
        <w:tc>
          <w:tcPr>
            <w:tcW w:w="442" w:type="pct"/>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243"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r>
              <w:rPr>
                <w:rFonts w:hint="eastAsia" w:ascii="宋体" w:hAnsi="宋体" w:cs="宋体"/>
                <w:kern w:val="0"/>
                <w:szCs w:val="21"/>
              </w:rPr>
              <w:t>**乡</w:t>
            </w:r>
          </w:p>
        </w:tc>
        <w:tc>
          <w:tcPr>
            <w:tcW w:w="323"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18"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19"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22"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20"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28"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19"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215"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19"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19"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25"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441"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s="宋体"/>
                <w:kern w:val="0"/>
                <w:szCs w:val="21"/>
                <w:lang w:val="en"/>
              </w:rPr>
            </w:pPr>
          </w:p>
        </w:tc>
        <w:tc>
          <w:tcPr>
            <w:tcW w:w="441" w:type="pct"/>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宋体" w:hAnsi="宋体" w:cs="宋体"/>
                <w:kern w:val="0"/>
                <w:szCs w:val="21"/>
              </w:rPr>
            </w:pPr>
          </w:p>
        </w:tc>
        <w:tc>
          <w:tcPr>
            <w:tcW w:w="442" w:type="pct"/>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243"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r>
              <w:rPr>
                <w:rFonts w:hint="eastAsia" w:ascii="宋体" w:hAnsi="宋体" w:cs="宋体"/>
                <w:kern w:val="0"/>
                <w:szCs w:val="21"/>
              </w:rPr>
              <w:t>**局</w:t>
            </w:r>
          </w:p>
        </w:tc>
        <w:tc>
          <w:tcPr>
            <w:tcW w:w="323"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18"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19"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22"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20"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28"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19"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215"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19"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19"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25"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441"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s="宋体"/>
                <w:kern w:val="0"/>
                <w:szCs w:val="21"/>
                <w:lang w:val="en"/>
              </w:rPr>
            </w:pPr>
          </w:p>
        </w:tc>
        <w:tc>
          <w:tcPr>
            <w:tcW w:w="441" w:type="pct"/>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宋体" w:hAnsi="宋体" w:cs="宋体"/>
                <w:kern w:val="0"/>
                <w:szCs w:val="21"/>
              </w:rPr>
            </w:pPr>
          </w:p>
        </w:tc>
        <w:tc>
          <w:tcPr>
            <w:tcW w:w="442" w:type="pct"/>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243"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ascii="宋体" w:hAnsi="宋体" w:cs="宋体"/>
                <w:kern w:val="0"/>
                <w:szCs w:val="21"/>
              </w:rPr>
            </w:pPr>
          </w:p>
        </w:tc>
        <w:tc>
          <w:tcPr>
            <w:tcW w:w="323"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18"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19"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22"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20"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28"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19"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215"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19"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19"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25"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441"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s="宋体"/>
                <w:kern w:val="0"/>
                <w:szCs w:val="21"/>
                <w:lang w:val="en"/>
              </w:rPr>
            </w:pPr>
          </w:p>
        </w:tc>
        <w:tc>
          <w:tcPr>
            <w:tcW w:w="441" w:type="pct"/>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宋体" w:hAnsi="宋体" w:cs="宋体"/>
                <w:kern w:val="0"/>
                <w:szCs w:val="21"/>
              </w:rPr>
            </w:pPr>
          </w:p>
        </w:tc>
        <w:tc>
          <w:tcPr>
            <w:tcW w:w="442" w:type="pct"/>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243"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23"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18"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19"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22"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20"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28"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19"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215"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19"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19"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25"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441"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s="宋体"/>
                <w:kern w:val="0"/>
                <w:szCs w:val="21"/>
                <w:lang w:val="en"/>
              </w:rPr>
            </w:pPr>
          </w:p>
        </w:tc>
        <w:tc>
          <w:tcPr>
            <w:tcW w:w="441" w:type="pct"/>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宋体" w:hAnsi="宋体" w:cs="宋体"/>
                <w:kern w:val="0"/>
                <w:szCs w:val="21"/>
              </w:rPr>
            </w:pPr>
          </w:p>
        </w:tc>
        <w:tc>
          <w:tcPr>
            <w:tcW w:w="442" w:type="pct"/>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243"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r>
              <w:rPr>
                <w:rFonts w:hint="eastAsia" w:ascii="宋体" w:hAnsi="宋体" w:cs="宋体"/>
                <w:kern w:val="0"/>
                <w:szCs w:val="21"/>
              </w:rPr>
              <w:t>……</w:t>
            </w:r>
          </w:p>
        </w:tc>
        <w:tc>
          <w:tcPr>
            <w:tcW w:w="323"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18"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19"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22"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20"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28"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19"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215"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19"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19"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25"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441"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s="宋体"/>
                <w:kern w:val="0"/>
                <w:szCs w:val="21"/>
                <w:lang w:val="en"/>
              </w:rPr>
            </w:pPr>
          </w:p>
        </w:tc>
        <w:tc>
          <w:tcPr>
            <w:tcW w:w="441" w:type="pct"/>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宋体" w:hAnsi="宋体" w:cs="宋体"/>
                <w:kern w:val="0"/>
                <w:szCs w:val="21"/>
              </w:rPr>
            </w:pPr>
          </w:p>
        </w:tc>
        <w:tc>
          <w:tcPr>
            <w:tcW w:w="442" w:type="pct"/>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宋体" w:hAnsi="宋体" w:cs="宋体"/>
                <w:kern w:val="0"/>
                <w:szCs w:val="21"/>
              </w:rPr>
            </w:pPr>
          </w:p>
        </w:tc>
      </w:tr>
    </w:tbl>
    <w:p>
      <w:pPr>
        <w:spacing w:line="300" w:lineRule="exact"/>
        <w:jc w:val="left"/>
        <w:rPr>
          <w:rFonts w:hint="eastAsia" w:ascii="宋体" w:hAnsi="宋体" w:cs="宋体"/>
          <w:kern w:val="0"/>
          <w:szCs w:val="21"/>
        </w:rPr>
      </w:pPr>
      <w:r>
        <w:rPr>
          <w:rFonts w:hint="eastAsia" w:ascii="宋体" w:hAnsi="宋体" w:cs="宋体"/>
          <w:kern w:val="0"/>
          <w:szCs w:val="21"/>
        </w:rPr>
        <w:t>注：统计数据包含各乡镇、县直各部门。</w:t>
      </w:r>
    </w:p>
    <w:p>
      <w:pPr>
        <w:pStyle w:val="8"/>
        <w:ind w:left="0" w:leftChars="0" w:firstLine="0" w:firstLineChars="0"/>
        <w:rPr>
          <w:rFonts w:hint="eastAsia" w:ascii="方正黑体_GBK" w:hAnsi="方正黑体_GBK" w:eastAsia="方正黑体_GBK" w:cs="方正黑体_GBK"/>
          <w:sz w:val="32"/>
          <w:szCs w:val="32"/>
        </w:rPr>
      </w:pPr>
    </w:p>
    <w:p>
      <w:pPr>
        <w:pStyle w:val="8"/>
        <w:ind w:left="0" w:leftChars="0" w:firstLine="0" w:firstLineChars="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2</w:t>
      </w:r>
      <w:r>
        <w:rPr>
          <w:rFonts w:hint="eastAsia" w:ascii="方正黑体_GBK" w:hAnsi="方正黑体_GBK" w:eastAsia="方正黑体_GBK" w:cs="方正黑体_GBK"/>
          <w:sz w:val="32"/>
          <w:szCs w:val="32"/>
        </w:rPr>
        <w:t>：</w:t>
      </w:r>
    </w:p>
    <w:p>
      <w:pPr>
        <w:pStyle w:val="8"/>
        <w:ind w:left="0" w:leftChars="0" w:firstLine="0" w:firstLineChars="0"/>
        <w:jc w:val="center"/>
        <w:rPr>
          <w:rFonts w:hint="eastAsia" w:ascii="方正黑体_GBK" w:hAnsi="方正黑体_GBK" w:eastAsia="方正黑体_GBK" w:cs="方正黑体_GBK"/>
          <w:sz w:val="32"/>
          <w:szCs w:val="32"/>
        </w:rPr>
      </w:pPr>
      <w:r>
        <w:rPr>
          <w:rFonts w:hint="eastAsia" w:ascii="方正小标宋简体" w:hAnsi="方正小标宋简体" w:eastAsia="方正小标宋简体" w:cs="方正小标宋简体"/>
          <w:sz w:val="44"/>
          <w:szCs w:val="44"/>
        </w:rPr>
        <w:t>非法违法生产经营建设行为、重大事故隐患统计表</w:t>
      </w:r>
    </w:p>
    <w:tbl>
      <w:tblPr>
        <w:tblStyle w:val="9"/>
        <w:tblW w:w="500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5"/>
        <w:gridCol w:w="2453"/>
        <w:gridCol w:w="1053"/>
        <w:gridCol w:w="897"/>
        <w:gridCol w:w="2087"/>
        <w:gridCol w:w="1154"/>
        <w:gridCol w:w="3090"/>
        <w:gridCol w:w="886"/>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exact"/>
          <w:jc w:val="center"/>
        </w:trPr>
        <w:tc>
          <w:tcPr>
            <w:tcW w:w="331"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r>
              <w:rPr>
                <w:rFonts w:hint="eastAsia" w:ascii="宋体" w:hAnsi="宋体" w:cs="宋体"/>
                <w:kern w:val="0"/>
                <w:szCs w:val="21"/>
              </w:rPr>
              <w:t>序号</w:t>
            </w:r>
          </w:p>
        </w:tc>
        <w:tc>
          <w:tcPr>
            <w:tcW w:w="878"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r>
              <w:rPr>
                <w:rFonts w:hint="eastAsia" w:ascii="宋体" w:hAnsi="宋体" w:cs="宋体"/>
                <w:kern w:val="0"/>
                <w:szCs w:val="21"/>
              </w:rPr>
              <w:t>生产经营建设单位名称/非法业主名称</w:t>
            </w:r>
          </w:p>
        </w:tc>
        <w:tc>
          <w:tcPr>
            <w:tcW w:w="377"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r>
              <w:rPr>
                <w:rFonts w:hint="eastAsia" w:ascii="宋体" w:hAnsi="宋体" w:cs="宋体"/>
                <w:kern w:val="0"/>
                <w:szCs w:val="21"/>
              </w:rPr>
              <w:t>核查单位</w:t>
            </w:r>
          </w:p>
        </w:tc>
        <w:tc>
          <w:tcPr>
            <w:tcW w:w="321"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r>
              <w:rPr>
                <w:rFonts w:hint="eastAsia" w:ascii="宋体" w:hAnsi="宋体" w:cs="宋体"/>
                <w:kern w:val="0"/>
                <w:szCs w:val="21"/>
              </w:rPr>
              <w:t>是否提级核查</w:t>
            </w:r>
          </w:p>
        </w:tc>
        <w:tc>
          <w:tcPr>
            <w:tcW w:w="747"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rPr>
                <w:rFonts w:hint="eastAsia" w:ascii="宋体" w:hAnsi="宋体" w:cs="宋体"/>
                <w:kern w:val="0"/>
                <w:szCs w:val="21"/>
              </w:rPr>
            </w:pPr>
            <w:r>
              <w:rPr>
                <w:rFonts w:hint="eastAsia" w:ascii="宋体" w:hAnsi="宋体" w:cs="宋体"/>
                <w:kern w:val="0"/>
                <w:szCs w:val="21"/>
              </w:rPr>
              <w:t>所在地县、乡镇（街道）</w:t>
            </w:r>
          </w:p>
        </w:tc>
        <w:tc>
          <w:tcPr>
            <w:tcW w:w="413"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r>
              <w:rPr>
                <w:rFonts w:hint="eastAsia" w:ascii="宋体" w:hAnsi="宋体" w:cs="宋体"/>
                <w:kern w:val="0"/>
                <w:szCs w:val="21"/>
              </w:rPr>
              <w:t>企业类别</w:t>
            </w:r>
          </w:p>
        </w:tc>
        <w:tc>
          <w:tcPr>
            <w:tcW w:w="1106"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ascii="宋体" w:hAnsi="宋体" w:cs="宋体"/>
                <w:kern w:val="0"/>
                <w:szCs w:val="21"/>
              </w:rPr>
            </w:pPr>
            <w:r>
              <w:rPr>
                <w:rFonts w:hint="eastAsia" w:ascii="宋体" w:hAnsi="宋体" w:cs="宋体"/>
                <w:kern w:val="0"/>
                <w:szCs w:val="21"/>
              </w:rPr>
              <w:t>重大隐患/具体非法违法行为明细</w:t>
            </w:r>
          </w:p>
        </w:tc>
        <w:tc>
          <w:tcPr>
            <w:tcW w:w="317"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r>
              <w:rPr>
                <w:rFonts w:hint="eastAsia" w:ascii="宋体" w:hAnsi="宋体" w:cs="宋体"/>
                <w:kern w:val="0"/>
                <w:szCs w:val="21"/>
              </w:rPr>
              <w:t>违法</w:t>
            </w:r>
          </w:p>
          <w:p>
            <w:pPr>
              <w:spacing w:line="300" w:lineRule="exact"/>
              <w:jc w:val="center"/>
              <w:rPr>
                <w:rFonts w:hint="eastAsia" w:ascii="宋体" w:hAnsi="宋体" w:cs="宋体"/>
                <w:kern w:val="0"/>
                <w:szCs w:val="21"/>
              </w:rPr>
            </w:pPr>
            <w:r>
              <w:rPr>
                <w:rFonts w:hint="eastAsia" w:ascii="宋体" w:hAnsi="宋体" w:cs="宋体"/>
                <w:kern w:val="0"/>
                <w:szCs w:val="21"/>
              </w:rPr>
              <w:t>性质</w:t>
            </w:r>
          </w:p>
        </w:tc>
        <w:tc>
          <w:tcPr>
            <w:tcW w:w="510"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r>
              <w:rPr>
                <w:rFonts w:hint="eastAsia" w:ascii="宋体" w:hAnsi="宋体" w:cs="宋体"/>
                <w:kern w:val="0"/>
                <w:szCs w:val="21"/>
              </w:rPr>
              <w:t>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31"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r>
              <w:rPr>
                <w:rFonts w:hint="eastAsia" w:ascii="宋体" w:hAnsi="宋体" w:cs="宋体"/>
                <w:kern w:val="0"/>
                <w:szCs w:val="21"/>
              </w:rPr>
              <w:t>1</w:t>
            </w:r>
          </w:p>
        </w:tc>
        <w:tc>
          <w:tcPr>
            <w:tcW w:w="878"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77"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21"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747"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413"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1106"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17"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510"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331"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r>
              <w:rPr>
                <w:rFonts w:hint="eastAsia" w:ascii="宋体" w:hAnsi="宋体" w:cs="宋体"/>
                <w:kern w:val="0"/>
                <w:szCs w:val="21"/>
              </w:rPr>
              <w:t>2</w:t>
            </w:r>
          </w:p>
        </w:tc>
        <w:tc>
          <w:tcPr>
            <w:tcW w:w="878"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77"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21"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747"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413"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1106"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p>
            <w:pPr>
              <w:spacing w:line="300" w:lineRule="exact"/>
              <w:jc w:val="center"/>
              <w:rPr>
                <w:rFonts w:hint="eastAsia" w:ascii="宋体" w:hAnsi="宋体" w:cs="宋体"/>
                <w:kern w:val="0"/>
                <w:szCs w:val="21"/>
              </w:rPr>
            </w:pPr>
          </w:p>
        </w:tc>
        <w:tc>
          <w:tcPr>
            <w:tcW w:w="317"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510"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331"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ascii="宋体" w:hAnsi="宋体" w:cs="宋体"/>
                <w:kern w:val="0"/>
                <w:szCs w:val="21"/>
                <w:lang w:val="en"/>
              </w:rPr>
            </w:pPr>
            <w:r>
              <w:rPr>
                <w:rFonts w:ascii="宋体" w:hAnsi="宋体" w:cs="宋体"/>
                <w:kern w:val="0"/>
                <w:szCs w:val="21"/>
                <w:lang w:val="en"/>
              </w:rPr>
              <w:t>3</w:t>
            </w:r>
          </w:p>
        </w:tc>
        <w:tc>
          <w:tcPr>
            <w:tcW w:w="878"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77"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21"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747"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413"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1106"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17"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510"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331"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r>
              <w:rPr>
                <w:rFonts w:hint="eastAsia" w:ascii="宋体" w:hAnsi="宋体" w:cs="宋体"/>
                <w:kern w:val="0"/>
                <w:szCs w:val="21"/>
              </w:rPr>
              <w:t>4</w:t>
            </w:r>
          </w:p>
        </w:tc>
        <w:tc>
          <w:tcPr>
            <w:tcW w:w="878"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77"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21"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747"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413"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1106"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17"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510"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331"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r>
              <w:rPr>
                <w:rFonts w:hint="eastAsia" w:ascii="宋体" w:hAnsi="宋体" w:cs="宋体"/>
                <w:kern w:val="0"/>
                <w:szCs w:val="21"/>
              </w:rPr>
              <w:t>5</w:t>
            </w:r>
          </w:p>
        </w:tc>
        <w:tc>
          <w:tcPr>
            <w:tcW w:w="878"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77"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21"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747"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413"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1106"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17"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510"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331"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r>
              <w:rPr>
                <w:rFonts w:hint="eastAsia" w:ascii="宋体" w:hAnsi="宋体" w:cs="宋体"/>
                <w:kern w:val="0"/>
                <w:szCs w:val="21"/>
              </w:rPr>
              <w:t>6</w:t>
            </w:r>
          </w:p>
        </w:tc>
        <w:tc>
          <w:tcPr>
            <w:tcW w:w="878"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77"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21"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747"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413"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1106"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17"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510"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331"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r>
              <w:rPr>
                <w:rFonts w:hint="eastAsia" w:ascii="宋体" w:hAnsi="宋体" w:cs="宋体"/>
                <w:kern w:val="0"/>
                <w:szCs w:val="21"/>
              </w:rPr>
              <w:t>7</w:t>
            </w:r>
          </w:p>
        </w:tc>
        <w:tc>
          <w:tcPr>
            <w:tcW w:w="878"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77"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21"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747"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413"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1106"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17"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510"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331"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r>
              <w:rPr>
                <w:rFonts w:hint="eastAsia" w:ascii="宋体" w:hAnsi="宋体" w:cs="宋体"/>
                <w:kern w:val="0"/>
                <w:szCs w:val="21"/>
              </w:rPr>
              <w:t>8</w:t>
            </w:r>
          </w:p>
        </w:tc>
        <w:tc>
          <w:tcPr>
            <w:tcW w:w="878"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77"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21"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747"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413"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1106"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17"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510"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331"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r>
              <w:rPr>
                <w:rFonts w:hint="eastAsia" w:ascii="宋体" w:hAnsi="宋体" w:cs="宋体"/>
                <w:kern w:val="0"/>
                <w:szCs w:val="21"/>
              </w:rPr>
              <w:t>9</w:t>
            </w:r>
          </w:p>
        </w:tc>
        <w:tc>
          <w:tcPr>
            <w:tcW w:w="878"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77"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21"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747"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413"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1106"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17"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510"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331"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r>
              <w:rPr>
                <w:rFonts w:hint="eastAsia" w:ascii="宋体" w:hAnsi="宋体" w:cs="宋体"/>
                <w:kern w:val="0"/>
                <w:szCs w:val="21"/>
              </w:rPr>
              <w:t>……</w:t>
            </w:r>
          </w:p>
        </w:tc>
        <w:tc>
          <w:tcPr>
            <w:tcW w:w="878"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77"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21"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747"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413"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1106"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17"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510"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r>
    </w:tbl>
    <w:p>
      <w:pPr>
        <w:spacing w:line="300" w:lineRule="exact"/>
        <w:ind w:firstLine="420" w:firstLineChars="200"/>
        <w:jc w:val="left"/>
        <w:rPr>
          <w:lang w:val="en"/>
        </w:rPr>
      </w:pPr>
      <w:r>
        <w:rPr>
          <w:rFonts w:hint="eastAsia" w:ascii="宋体" w:hAnsi="宋体" w:cs="宋体"/>
          <w:kern w:val="0"/>
          <w:szCs w:val="21"/>
        </w:rPr>
        <w:t>注：重大隐患明细</w:t>
      </w:r>
      <w:r>
        <w:rPr>
          <w:rFonts w:hint="eastAsia"/>
        </w:rPr>
        <w:t>对照方案中重点行业领域内容填写，非法违法具体行为对照“百日攻坚”集中行动重点内容“严厉打击”事项填写。</w:t>
      </w:r>
    </w:p>
    <w:p>
      <w:pPr>
        <w:pStyle w:val="8"/>
        <w:ind w:left="0" w:leftChars="0" w:firstLine="0" w:firstLineChars="0"/>
        <w:rPr>
          <w:rFonts w:hint="eastAsia" w:ascii="方正黑体_GBK" w:hAnsi="方正黑体_GBK" w:eastAsia="方正黑体_GBK" w:cs="方正黑体_GBK"/>
          <w:sz w:val="32"/>
          <w:szCs w:val="32"/>
        </w:rPr>
      </w:pPr>
    </w:p>
    <w:p>
      <w:pPr>
        <w:pStyle w:val="8"/>
        <w:ind w:left="0" w:leftChars="0" w:firstLine="0" w:firstLineChars="0"/>
        <w:rPr>
          <w:rFonts w:hint="eastAsia" w:ascii="方正黑体_GBK" w:hAnsi="方正黑体_GBK" w:eastAsia="方正黑体_GBK" w:cs="方正黑体_GBK"/>
          <w:sz w:val="32"/>
          <w:szCs w:val="32"/>
        </w:rPr>
      </w:pPr>
    </w:p>
    <w:p>
      <w:pPr>
        <w:pStyle w:val="8"/>
        <w:ind w:left="0" w:leftChars="0" w:firstLine="0" w:firstLineChars="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3</w:t>
      </w:r>
      <w:r>
        <w:rPr>
          <w:rFonts w:hint="eastAsia" w:ascii="方正黑体_GBK" w:hAnsi="方正黑体_GBK" w:eastAsia="方正黑体_GBK" w:cs="方正黑体_GBK"/>
          <w:sz w:val="32"/>
          <w:szCs w:val="32"/>
        </w:rPr>
        <w:t>：</w:t>
      </w:r>
    </w:p>
    <w:p>
      <w:pPr>
        <w:pStyle w:val="8"/>
        <w:ind w:left="0" w:leftChars="0" w:firstLine="0" w:firstLineChars="0"/>
        <w:jc w:val="center"/>
        <w:rPr>
          <w:rFonts w:hint="eastAsia" w:ascii="方正黑体_GBK" w:hAnsi="方正黑体_GBK" w:eastAsia="方正黑体_GBK" w:cs="方正黑体_GBK"/>
          <w:sz w:val="32"/>
          <w:szCs w:val="32"/>
        </w:rPr>
      </w:pPr>
      <w:r>
        <w:rPr>
          <w:rFonts w:hint="eastAsia" w:ascii="方正小标宋简体" w:hAnsi="方正小标宋简体" w:eastAsia="方正小标宋简体" w:cs="方正小标宋简体"/>
          <w:sz w:val="44"/>
          <w:szCs w:val="44"/>
        </w:rPr>
        <w:t>“百日攻坚”集中行动联络人</w:t>
      </w:r>
    </w:p>
    <w:tbl>
      <w:tblPr>
        <w:tblStyle w:val="9"/>
        <w:tblW w:w="504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4"/>
        <w:gridCol w:w="1088"/>
        <w:gridCol w:w="2275"/>
        <w:gridCol w:w="1432"/>
        <w:gridCol w:w="1232"/>
        <w:gridCol w:w="1520"/>
        <w:gridCol w:w="1266"/>
        <w:gridCol w:w="2439"/>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exact"/>
          <w:jc w:val="center"/>
        </w:trPr>
        <w:tc>
          <w:tcPr>
            <w:tcW w:w="693"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r>
              <w:rPr>
                <w:rFonts w:hint="eastAsia" w:ascii="宋体" w:hAnsi="宋体" w:cs="宋体"/>
                <w:kern w:val="0"/>
                <w:szCs w:val="21"/>
              </w:rPr>
              <w:t>单位</w:t>
            </w:r>
          </w:p>
        </w:tc>
        <w:tc>
          <w:tcPr>
            <w:tcW w:w="386"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r>
              <w:rPr>
                <w:rFonts w:hint="eastAsia" w:ascii="宋体" w:hAnsi="宋体" w:cs="宋体"/>
                <w:kern w:val="0"/>
                <w:szCs w:val="21"/>
              </w:rPr>
              <w:t>姓名</w:t>
            </w:r>
          </w:p>
        </w:tc>
        <w:tc>
          <w:tcPr>
            <w:tcW w:w="807"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r>
              <w:rPr>
                <w:rFonts w:hint="eastAsia" w:ascii="宋体" w:hAnsi="宋体" w:cs="宋体"/>
                <w:kern w:val="0"/>
                <w:szCs w:val="21"/>
              </w:rPr>
              <w:t>职务</w:t>
            </w:r>
          </w:p>
        </w:tc>
        <w:tc>
          <w:tcPr>
            <w:tcW w:w="508"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r>
              <w:rPr>
                <w:rFonts w:hint="eastAsia" w:ascii="宋体" w:hAnsi="宋体" w:cs="宋体"/>
                <w:kern w:val="0"/>
                <w:szCs w:val="21"/>
              </w:rPr>
              <w:t>办公电话</w:t>
            </w:r>
          </w:p>
        </w:tc>
        <w:tc>
          <w:tcPr>
            <w:tcW w:w="437"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r>
              <w:rPr>
                <w:rFonts w:hint="eastAsia" w:ascii="宋体" w:hAnsi="宋体" w:cs="宋体"/>
                <w:kern w:val="0"/>
                <w:szCs w:val="21"/>
              </w:rPr>
              <w:t>传真</w:t>
            </w:r>
          </w:p>
        </w:tc>
        <w:tc>
          <w:tcPr>
            <w:tcW w:w="539"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r>
              <w:rPr>
                <w:rFonts w:hint="eastAsia" w:ascii="宋体" w:hAnsi="宋体" w:cs="宋体"/>
                <w:kern w:val="0"/>
                <w:szCs w:val="21"/>
              </w:rPr>
              <w:t>手机号</w:t>
            </w:r>
          </w:p>
        </w:tc>
        <w:tc>
          <w:tcPr>
            <w:tcW w:w="449"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ascii="宋体" w:hAnsi="宋体" w:cs="宋体"/>
                <w:kern w:val="0"/>
                <w:szCs w:val="21"/>
              </w:rPr>
            </w:pPr>
            <w:r>
              <w:rPr>
                <w:rFonts w:hint="eastAsia" w:ascii="宋体" w:hAnsi="宋体" w:cs="宋体"/>
                <w:kern w:val="0"/>
                <w:szCs w:val="21"/>
              </w:rPr>
              <w:t>电子邮箱</w:t>
            </w:r>
          </w:p>
        </w:tc>
        <w:tc>
          <w:tcPr>
            <w:tcW w:w="865"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r>
              <w:rPr>
                <w:rFonts w:hint="eastAsia" w:ascii="宋体" w:hAnsi="宋体" w:cs="宋体"/>
                <w:kern w:val="0"/>
                <w:szCs w:val="21"/>
              </w:rPr>
              <w:t>单位地址</w:t>
            </w:r>
          </w:p>
        </w:tc>
        <w:tc>
          <w:tcPr>
            <w:tcW w:w="313"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r>
              <w:rPr>
                <w:rFonts w:hint="eastAsia" w:ascii="宋体" w:hAnsi="宋体" w:cs="宋体"/>
                <w:kern w:val="0"/>
                <w:szCs w:val="21"/>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jc w:val="center"/>
        </w:trPr>
        <w:tc>
          <w:tcPr>
            <w:tcW w:w="693"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86"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807"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508"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437"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539"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449"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865"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13"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jc w:val="center"/>
        </w:trPr>
        <w:tc>
          <w:tcPr>
            <w:tcW w:w="693"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86"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807"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508"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437"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539"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449"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p>
            <w:pPr>
              <w:spacing w:line="300" w:lineRule="exact"/>
              <w:jc w:val="center"/>
              <w:rPr>
                <w:rFonts w:hint="eastAsia" w:ascii="宋体" w:hAnsi="宋体" w:cs="宋体"/>
                <w:kern w:val="0"/>
                <w:szCs w:val="21"/>
              </w:rPr>
            </w:pPr>
          </w:p>
        </w:tc>
        <w:tc>
          <w:tcPr>
            <w:tcW w:w="865"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c>
          <w:tcPr>
            <w:tcW w:w="313" w:type="pc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eastAsia" w:ascii="宋体" w:hAnsi="宋体" w:cs="宋体"/>
                <w:kern w:val="0"/>
                <w:szCs w:val="21"/>
              </w:rPr>
            </w:pPr>
          </w:p>
        </w:tc>
      </w:tr>
    </w:tbl>
    <w:p>
      <w:pPr>
        <w:pStyle w:val="8"/>
        <w:ind w:left="0" w:leftChars="0" w:firstLine="0" w:firstLineChars="0"/>
        <w:rPr>
          <w:rFonts w:ascii="方正黑体_GBK" w:hAnsi="方正黑体_GBK" w:eastAsia="方正黑体_GBK" w:cs="方正黑体_GBK"/>
          <w:sz w:val="32"/>
          <w:szCs w:val="32"/>
        </w:rPr>
      </w:pPr>
    </w:p>
    <w:p/>
    <w:p/>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2040204020203"/>
    <w:charset w:val="86"/>
    <w:family w:val="auto"/>
    <w:pitch w:val="default"/>
    <w:sig w:usb0="80000287" w:usb1="2ACF0010"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3OTYyZGRkNTkwMWU4NDY3MTczNzVmNmU4Y2U4ZGEifQ=="/>
  </w:docVars>
  <w:rsids>
    <w:rsidRoot w:val="7DD51720"/>
    <w:rsid w:val="3BC03B40"/>
    <w:rsid w:val="466A575D"/>
    <w:rsid w:val="6BE235D6"/>
    <w:rsid w:val="77FF2DD9"/>
    <w:rsid w:val="7DD51720"/>
    <w:rsid w:val="F7FD24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next w:val="4"/>
    <w:qFormat/>
    <w:uiPriority w:val="0"/>
  </w:style>
  <w:style w:type="paragraph" w:customStyle="1" w:styleId="3">
    <w:name w:val="正文文本缩进1"/>
    <w:basedOn w:val="1"/>
    <w:qFormat/>
    <w:uiPriority w:val="0"/>
    <w:pPr>
      <w:ind w:left="200" w:leftChars="200"/>
    </w:pPr>
  </w:style>
  <w:style w:type="paragraph" w:styleId="4">
    <w:name w:val="Normal (Web)"/>
    <w:basedOn w:val="1"/>
    <w:next w:val="1"/>
    <w:unhideWhenUsed/>
    <w:qFormat/>
    <w:uiPriority w:val="0"/>
    <w:pPr>
      <w:spacing w:before="100" w:beforeAutospacing="1" w:after="100" w:afterAutospacing="1"/>
      <w:jc w:val="left"/>
    </w:pPr>
    <w:rPr>
      <w:kern w:val="0"/>
      <w:sz w:val="24"/>
      <w:szCs w:val="20"/>
    </w:rPr>
  </w:style>
  <w:style w:type="paragraph" w:styleId="5">
    <w:name w:val="Body Text Indent"/>
    <w:basedOn w:val="1"/>
    <w:unhideWhenUsed/>
    <w:qFormat/>
    <w:uiPriority w:val="99"/>
    <w:pPr>
      <w:spacing w:after="120"/>
      <w:ind w:left="420" w:leftChars="2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2"/>
    <w:basedOn w:val="5"/>
    <w:qFormat/>
    <w:uiPriority w:val="0"/>
    <w:pPr>
      <w:spacing w:after="0"/>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2022-01-19T22:57:00Z</dcterms:created>
  <dc:creator>张小拧</dc:creator>
  <cp:lastModifiedBy>syxzfb013</cp:lastModifiedBy>
  <cp:lastPrinted>2022-01-20T18:09:00Z</cp:lastPrinted>
  <dcterms:modified xsi:type="dcterms:W3CDTF">2023-05-23T11:32:24Z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9AD7ECC5D86C43D99BED66444F4E9392</vt:lpwstr>
  </property>
</Properties>
</file>