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53D03">
      <w:pPr>
        <w:wordWrap w:val="0"/>
        <w:spacing w:line="560" w:lineRule="exact"/>
        <w:ind w:firstLine="4620" w:firstLineChars="2100"/>
        <w:jc w:val="right"/>
        <w:rPr>
          <w:rFonts w:ascii="Times New Roman" w:hAnsi="Times New Roman" w:eastAsia="黑体" w:cs="Times New Roman"/>
          <w:kern w:val="44"/>
          <w:u w:val="none" w:color="auto"/>
          <w:shd w:val="clear" w:fill="auto"/>
        </w:rPr>
      </w:pPr>
      <w:bookmarkStart w:id="0" w:name="OLE_LINK4"/>
    </w:p>
    <w:p w14:paraId="4B026705">
      <w:pPr>
        <w:rPr>
          <w:rFonts w:ascii="Times New Roman" w:hAnsi="Times New Roman" w:cs="Times New Roman"/>
          <w:u w:val="none" w:color="auto"/>
          <w:shd w:val="clear" w:fill="auto"/>
        </w:rPr>
      </w:pPr>
    </w:p>
    <w:p w14:paraId="3636F6DF">
      <w:pPr>
        <w:rPr>
          <w:rFonts w:ascii="Times New Roman" w:hAnsi="Times New Roman" w:cs="Times New Roman"/>
          <w:u w:val="none" w:color="auto"/>
          <w:shd w:val="clear" w:fill="auto"/>
        </w:rPr>
      </w:pPr>
    </w:p>
    <w:p w14:paraId="75A98A7F">
      <w:pPr>
        <w:snapToGrid w:val="0"/>
        <w:spacing w:line="560" w:lineRule="exact"/>
        <w:jc w:val="center"/>
        <w:rPr>
          <w:rFonts w:ascii="Times New Roman" w:hAnsi="Times New Roman" w:eastAsia="方正小标宋简体" w:cs="Times New Roman"/>
          <w:bCs/>
          <w:sz w:val="44"/>
          <w:szCs w:val="44"/>
          <w:u w:val="none" w:color="auto"/>
          <w:shd w:val="clear" w:fill="auto"/>
        </w:rPr>
      </w:pPr>
      <w:r>
        <w:rPr>
          <w:rFonts w:ascii="Times New Roman" w:hAnsi="Times New Roman" w:eastAsia="方正小标宋简体" w:cs="Times New Roman"/>
          <w:bCs/>
          <w:sz w:val="44"/>
          <w:szCs w:val="44"/>
          <w:u w:val="none" w:color="auto"/>
          <w:shd w:val="clear" w:fill="auto"/>
        </w:rPr>
        <w:t>山阴县国土空间总体规划</w:t>
      </w:r>
    </w:p>
    <w:p w14:paraId="043320E7">
      <w:pPr>
        <w:snapToGrid w:val="0"/>
        <w:spacing w:line="560" w:lineRule="exact"/>
        <w:jc w:val="center"/>
        <w:rPr>
          <w:rFonts w:ascii="Times New Roman" w:hAnsi="Times New Roman" w:eastAsia="方正小标宋简体" w:cs="Times New Roman"/>
          <w:bCs/>
          <w:sz w:val="44"/>
          <w:szCs w:val="44"/>
          <w:u w:val="none" w:color="auto"/>
          <w:shd w:val="clear" w:fill="auto"/>
        </w:rPr>
      </w:pPr>
      <w:r>
        <w:rPr>
          <w:rFonts w:hint="eastAsia" w:ascii="Times New Roman" w:hAnsi="Times New Roman" w:eastAsia="方正小标宋简体" w:cs="Times New Roman"/>
          <w:bCs/>
          <w:sz w:val="44"/>
          <w:szCs w:val="44"/>
          <w:u w:val="none" w:color="auto"/>
          <w:shd w:val="clear" w:fill="auto"/>
        </w:rPr>
        <w:t>（2021</w:t>
      </w:r>
      <w:r>
        <w:rPr>
          <w:rFonts w:hint="eastAsia" w:ascii="Times New Roman" w:hAnsi="Times New Roman" w:eastAsia="方正小标宋简体" w:cs="Times New Roman"/>
          <w:bCs/>
          <w:sz w:val="44"/>
          <w:szCs w:val="44"/>
          <w:u w:val="none" w:color="auto"/>
          <w:shd w:val="clear" w:fill="auto"/>
          <w:lang w:eastAsia="zh-CN"/>
        </w:rPr>
        <w:t>—</w:t>
      </w:r>
      <w:r>
        <w:rPr>
          <w:rFonts w:hint="eastAsia" w:ascii="Times New Roman" w:hAnsi="Times New Roman" w:eastAsia="方正小标宋简体" w:cs="Times New Roman"/>
          <w:bCs/>
          <w:sz w:val="44"/>
          <w:szCs w:val="44"/>
          <w:u w:val="none" w:color="auto"/>
          <w:shd w:val="clear" w:fill="auto"/>
        </w:rPr>
        <w:t>2035年）</w:t>
      </w:r>
    </w:p>
    <w:p w14:paraId="3881EDA6">
      <w:pPr>
        <w:snapToGrid w:val="0"/>
        <w:spacing w:line="560" w:lineRule="exact"/>
        <w:jc w:val="center"/>
        <w:rPr>
          <w:rFonts w:ascii="Times New Roman" w:hAnsi="Times New Roman" w:eastAsia="方正小标宋简体" w:cs="Times New Roman"/>
          <w:bCs/>
          <w:sz w:val="44"/>
          <w:szCs w:val="44"/>
          <w:u w:val="none" w:color="auto"/>
          <w:shd w:val="clear" w:fill="auto"/>
        </w:rPr>
      </w:pPr>
      <w:r>
        <w:rPr>
          <w:rFonts w:hint="eastAsia" w:ascii="Times New Roman" w:hAnsi="Times New Roman" w:eastAsia="方正小标宋简体" w:cs="Times New Roman"/>
          <w:bCs/>
          <w:sz w:val="44"/>
          <w:szCs w:val="44"/>
          <w:u w:val="none" w:color="auto"/>
          <w:shd w:val="clear" w:fill="auto"/>
        </w:rPr>
        <w:t>2026年度</w:t>
      </w:r>
      <w:r>
        <w:rPr>
          <w:rFonts w:ascii="Times New Roman" w:hAnsi="Times New Roman" w:eastAsia="方正小标宋简体" w:cs="Times New Roman"/>
          <w:bCs/>
          <w:sz w:val="44"/>
          <w:szCs w:val="44"/>
          <w:u w:val="none" w:color="auto"/>
          <w:shd w:val="clear" w:fill="auto"/>
        </w:rPr>
        <w:t>动态维护方案</w:t>
      </w:r>
    </w:p>
    <w:p w14:paraId="6B86C7D4">
      <w:pPr>
        <w:adjustRightInd w:val="0"/>
        <w:snapToGrid w:val="0"/>
        <w:spacing w:before="312" w:beforeLines="100" w:line="560" w:lineRule="exact"/>
        <w:jc w:val="center"/>
        <w:rPr>
          <w:rFonts w:ascii="Times New Roman" w:hAnsi="Times New Roman" w:eastAsia="方正小标宋简体" w:cs="Times New Roman"/>
          <w:bCs/>
          <w:sz w:val="36"/>
          <w:szCs w:val="36"/>
          <w:u w:val="none" w:color="auto"/>
          <w:shd w:val="clear" w:fill="auto"/>
        </w:rPr>
      </w:pPr>
      <w:r>
        <w:rPr>
          <w:rFonts w:hint="eastAsia" w:ascii="Times New Roman" w:hAnsi="Times New Roman" w:eastAsia="方正小标宋简体" w:cs="Times New Roman"/>
          <w:bCs/>
          <w:sz w:val="36"/>
          <w:szCs w:val="36"/>
          <w:u w:val="none" w:color="auto"/>
          <w:shd w:val="clear" w:fill="auto"/>
        </w:rPr>
        <w:t>（公示稿）</w:t>
      </w:r>
    </w:p>
    <w:p w14:paraId="2CACF7A5">
      <w:pPr>
        <w:adjustRightInd w:val="0"/>
        <w:snapToGrid w:val="0"/>
        <w:spacing w:before="312" w:beforeLines="100" w:line="560" w:lineRule="exact"/>
        <w:jc w:val="center"/>
        <w:rPr>
          <w:rFonts w:ascii="Times New Roman" w:hAnsi="Times New Roman" w:eastAsia="方正小标宋简体" w:cs="Times New Roman"/>
          <w:bCs/>
          <w:sz w:val="36"/>
          <w:szCs w:val="36"/>
          <w:u w:val="none" w:color="auto"/>
          <w:shd w:val="clear" w:fill="auto"/>
        </w:rPr>
      </w:pPr>
    </w:p>
    <w:p w14:paraId="02A53083">
      <w:pPr>
        <w:adjustRightInd w:val="0"/>
        <w:snapToGrid w:val="0"/>
        <w:spacing w:before="312" w:beforeLines="100" w:line="560" w:lineRule="exact"/>
        <w:jc w:val="center"/>
        <w:rPr>
          <w:rFonts w:ascii="Times New Roman" w:hAnsi="Times New Roman" w:eastAsia="方正小标宋简体" w:cs="Times New Roman"/>
          <w:bCs/>
          <w:sz w:val="36"/>
          <w:szCs w:val="36"/>
          <w:u w:val="none" w:color="auto"/>
          <w:shd w:val="clear" w:fill="auto"/>
        </w:rPr>
      </w:pPr>
    </w:p>
    <w:p w14:paraId="1642D494">
      <w:pPr>
        <w:adjustRightInd w:val="0"/>
        <w:snapToGrid w:val="0"/>
        <w:spacing w:before="312" w:beforeLines="100" w:line="560" w:lineRule="exact"/>
        <w:jc w:val="center"/>
        <w:rPr>
          <w:rFonts w:ascii="Times New Roman" w:hAnsi="Times New Roman" w:eastAsia="方正小标宋简体" w:cs="Times New Roman"/>
          <w:bCs/>
          <w:sz w:val="36"/>
          <w:szCs w:val="36"/>
          <w:u w:val="none" w:color="auto"/>
          <w:shd w:val="clear" w:fill="auto"/>
        </w:rPr>
      </w:pPr>
    </w:p>
    <w:p w14:paraId="1CE1F415">
      <w:pPr>
        <w:adjustRightInd w:val="0"/>
        <w:snapToGrid w:val="0"/>
        <w:spacing w:before="312" w:beforeLines="100" w:line="560" w:lineRule="exact"/>
        <w:jc w:val="center"/>
        <w:rPr>
          <w:rFonts w:ascii="Times New Roman" w:hAnsi="Times New Roman" w:eastAsia="方正小标宋简体" w:cs="Times New Roman"/>
          <w:bCs/>
          <w:sz w:val="36"/>
          <w:szCs w:val="36"/>
          <w:u w:val="none" w:color="auto"/>
          <w:shd w:val="clear" w:fill="auto"/>
        </w:rPr>
      </w:pPr>
    </w:p>
    <w:p w14:paraId="235D8A98">
      <w:pPr>
        <w:adjustRightInd w:val="0"/>
        <w:snapToGrid w:val="0"/>
        <w:spacing w:before="312" w:beforeLines="100" w:line="560" w:lineRule="exact"/>
        <w:jc w:val="center"/>
        <w:rPr>
          <w:rFonts w:ascii="Times New Roman" w:hAnsi="Times New Roman" w:eastAsia="方正小标宋简体" w:cs="Times New Roman"/>
          <w:bCs/>
          <w:sz w:val="36"/>
          <w:szCs w:val="36"/>
          <w:u w:val="none" w:color="auto"/>
          <w:shd w:val="clear" w:fill="auto"/>
        </w:rPr>
      </w:pPr>
    </w:p>
    <w:p w14:paraId="569AAF33">
      <w:pPr>
        <w:adjustRightInd w:val="0"/>
        <w:snapToGrid w:val="0"/>
        <w:spacing w:before="312" w:beforeLines="100" w:line="560" w:lineRule="exact"/>
        <w:jc w:val="center"/>
        <w:rPr>
          <w:rFonts w:ascii="Times New Roman" w:hAnsi="Times New Roman" w:eastAsia="方正小标宋简体" w:cs="Times New Roman"/>
          <w:bCs/>
          <w:sz w:val="36"/>
          <w:szCs w:val="36"/>
          <w:u w:val="none" w:color="auto"/>
          <w:shd w:val="clear" w:fill="auto"/>
        </w:rPr>
      </w:pPr>
    </w:p>
    <w:p w14:paraId="07402A65">
      <w:pPr>
        <w:adjustRightInd w:val="0"/>
        <w:snapToGrid w:val="0"/>
        <w:spacing w:before="312" w:beforeLines="100" w:line="560" w:lineRule="exact"/>
        <w:jc w:val="center"/>
        <w:rPr>
          <w:rFonts w:ascii="Times New Roman" w:hAnsi="Times New Roman" w:eastAsia="方正小标宋简体" w:cs="Times New Roman"/>
          <w:bCs/>
          <w:sz w:val="36"/>
          <w:szCs w:val="36"/>
          <w:u w:val="none" w:color="auto"/>
          <w:shd w:val="clear" w:fill="auto"/>
        </w:rPr>
      </w:pPr>
    </w:p>
    <w:p w14:paraId="7EF4BD28">
      <w:pPr>
        <w:spacing w:line="560" w:lineRule="exact"/>
        <w:jc w:val="center"/>
        <w:rPr>
          <w:rFonts w:hint="eastAsia" w:ascii="Times New Roman" w:hAnsi="Times New Roman" w:eastAsia="黑体" w:cs="Times New Roman"/>
          <w:bCs/>
          <w:sz w:val="32"/>
          <w:szCs w:val="32"/>
          <w:u w:val="none" w:color="auto"/>
          <w:shd w:val="clear" w:fill="auto"/>
          <w:lang w:eastAsia="zh-CN"/>
        </w:rPr>
      </w:pPr>
      <w:r>
        <w:rPr>
          <w:rFonts w:hint="eastAsia" w:ascii="Times New Roman" w:hAnsi="Times New Roman" w:eastAsia="黑体" w:cs="Times New Roman"/>
          <w:bCs/>
          <w:sz w:val="32"/>
          <w:szCs w:val="32"/>
          <w:u w:val="none" w:color="auto"/>
          <w:shd w:val="clear" w:fill="auto"/>
          <w:lang w:eastAsia="zh-CN"/>
        </w:rPr>
        <w:t>北京国图规划设计有限公司</w:t>
      </w:r>
    </w:p>
    <w:p w14:paraId="0E09A62A">
      <w:pPr>
        <w:spacing w:line="560" w:lineRule="exact"/>
        <w:jc w:val="center"/>
        <w:rPr>
          <w:rFonts w:ascii="Times New Roman" w:hAnsi="Times New Roman" w:eastAsia="黑体" w:cs="Times New Roman"/>
          <w:bCs/>
          <w:u w:val="none" w:color="auto"/>
          <w:shd w:val="clear" w:fill="auto"/>
        </w:rPr>
      </w:pPr>
    </w:p>
    <w:p w14:paraId="23384BD6">
      <w:pPr>
        <w:pStyle w:val="2"/>
        <w:spacing w:before="0" w:after="0" w:line="600" w:lineRule="exact"/>
        <w:jc w:val="both"/>
        <w:rPr>
          <w:rFonts w:ascii="Times New Roman" w:hAnsi="Times New Roman" w:eastAsia="方正小标宋简体" w:cs="Times New Roman"/>
          <w:color w:val="auto"/>
          <w:kern w:val="44"/>
          <w:sz w:val="36"/>
          <w:szCs w:val="36"/>
          <w:u w:val="none" w:color="auto"/>
          <w:shd w:val="clear" w:fill="auto"/>
        </w:rPr>
        <w:sectPr>
          <w:footerReference r:id="rId5" w:type="default"/>
          <w:pgSz w:w="11906" w:h="16838"/>
          <w:pgMar w:top="1440" w:right="1800" w:bottom="1440" w:left="1800" w:header="851" w:footer="992" w:gutter="0"/>
          <w:cols w:space="425" w:num="1"/>
          <w:docGrid w:type="lines" w:linePitch="312" w:charSpace="0"/>
        </w:sectPr>
      </w:pPr>
    </w:p>
    <w:p w14:paraId="6ADDA69C">
      <w:pPr>
        <w:pStyle w:val="3"/>
        <w:spacing w:before="0" w:after="0" w:line="600" w:lineRule="exact"/>
        <w:ind w:firstLine="600" w:firstLineChars="200"/>
        <w:jc w:val="both"/>
        <w:rPr>
          <w:rFonts w:hint="eastAsia" w:eastAsia="黑体"/>
          <w:color w:val="000000" w:themeColor="text1"/>
          <w:sz w:val="30"/>
          <w:u w:val="none" w:color="auto"/>
          <w:shd w:val="clear" w:fill="auto"/>
          <w14:textFill>
            <w14:solidFill>
              <w14:schemeClr w14:val="tx1"/>
            </w14:solidFill>
          </w14:textFill>
        </w:rPr>
      </w:pPr>
      <w:r>
        <w:rPr>
          <w:rFonts w:hint="eastAsia" w:eastAsia="黑体"/>
          <w:color w:val="000000" w:themeColor="text1"/>
          <w:sz w:val="30"/>
          <w:u w:val="none" w:color="auto"/>
          <w:shd w:val="clear" w:fill="auto"/>
          <w14:textFill>
            <w14:solidFill>
              <w14:schemeClr w14:val="tx1"/>
            </w14:solidFill>
          </w14:textFill>
        </w:rPr>
        <w:t>一、工作背景</w:t>
      </w:r>
    </w:p>
    <w:p w14:paraId="262F0A52">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为贯彻落实党的二十届四中全会精神，在国土空间规划中充分体现“十五五”规划指导方针和目标任务要求，全面统筹各相关领域“十五五”重点项目空间需求，根据《自然资源部国家林业和草原局关于进一步做好自然资源要素保障的通知》（自然资发〔2026〕38号）、《山西省自然资源厅关于印发〈市县级国土空间总体规划动态调整完善工作方案〉的通知》（晋自然资函〔2026〕167号），基于国土空间规划体检评估结果，开展《山阴县国土空间总体规划</w:t>
      </w:r>
      <w:r>
        <w:rPr>
          <w:rFonts w:hint="eastAsia" w:ascii="Times New Roman" w:hAnsi="Times New Roman" w:eastAsia="仿宋" w:cs="Times New Roman"/>
          <w:kern w:val="0"/>
          <w:sz w:val="32"/>
          <w:szCs w:val="32"/>
          <w:u w:val="none" w:color="auto"/>
          <w:shd w:val="clear" w:fill="auto"/>
        </w:rPr>
        <w:t>（2021</w:t>
      </w:r>
      <w:r>
        <w:rPr>
          <w:rFonts w:hint="eastAsia" w:ascii="Times New Roman" w:hAnsi="Times New Roman" w:eastAsia="仿宋" w:cs="Times New Roman"/>
          <w:kern w:val="0"/>
          <w:sz w:val="32"/>
          <w:szCs w:val="32"/>
          <w:u w:val="none" w:color="auto"/>
          <w:shd w:val="clear" w:fill="auto"/>
          <w:lang w:eastAsia="zh-CN"/>
        </w:rPr>
        <w:t>—</w:t>
      </w:r>
      <w:r>
        <w:rPr>
          <w:rFonts w:hint="eastAsia" w:ascii="Times New Roman" w:hAnsi="Times New Roman" w:eastAsia="仿宋" w:cs="Times New Roman"/>
          <w:kern w:val="0"/>
          <w:sz w:val="32"/>
          <w:szCs w:val="32"/>
          <w:u w:val="none" w:color="auto"/>
          <w:shd w:val="clear" w:fill="auto"/>
        </w:rPr>
        <w:t>2035年）</w:t>
      </w:r>
      <w:r>
        <w:rPr>
          <w:rFonts w:ascii="Times New Roman" w:hAnsi="Times New Roman" w:eastAsia="仿宋" w:cs="Times New Roman"/>
          <w:kern w:val="0"/>
          <w:sz w:val="32"/>
          <w:szCs w:val="32"/>
          <w:u w:val="none" w:color="auto"/>
          <w:shd w:val="clear" w:fill="auto"/>
        </w:rPr>
        <w:t>2026年度动态维护方案》编制工作。</w:t>
      </w:r>
    </w:p>
    <w:p w14:paraId="544DA1B0">
      <w:pPr>
        <w:pStyle w:val="3"/>
        <w:spacing w:before="0" w:after="0" w:line="600" w:lineRule="exact"/>
        <w:ind w:firstLine="600" w:firstLineChars="200"/>
        <w:jc w:val="both"/>
        <w:rPr>
          <w:rFonts w:hint="eastAsia" w:eastAsia="黑体"/>
          <w:color w:val="000000" w:themeColor="text1"/>
          <w:sz w:val="30"/>
          <w:u w:val="none" w:color="auto"/>
          <w:shd w:val="clear" w:fill="auto"/>
          <w14:textFill>
            <w14:solidFill>
              <w14:schemeClr w14:val="tx1"/>
            </w14:solidFill>
          </w14:textFill>
        </w:rPr>
      </w:pPr>
      <w:r>
        <w:rPr>
          <w:rFonts w:hint="eastAsia" w:eastAsia="黑体"/>
          <w:color w:val="000000" w:themeColor="text1"/>
          <w:sz w:val="30"/>
          <w:u w:val="none" w:color="auto"/>
          <w:shd w:val="clear" w:fill="auto"/>
          <w14:textFill>
            <w14:solidFill>
              <w14:schemeClr w14:val="tx1"/>
            </w14:solidFill>
          </w14:textFill>
        </w:rPr>
        <w:t>二</w:t>
      </w:r>
      <w:r>
        <w:rPr>
          <w:rFonts w:eastAsia="黑体"/>
          <w:color w:val="000000" w:themeColor="text1"/>
          <w:sz w:val="30"/>
          <w:u w:val="none" w:color="auto"/>
          <w:shd w:val="clear" w:fill="auto"/>
          <w14:textFill>
            <w14:solidFill>
              <w14:schemeClr w14:val="tx1"/>
            </w14:solidFill>
          </w14:textFill>
        </w:rPr>
        <w:t>、</w:t>
      </w:r>
      <w:bookmarkEnd w:id="0"/>
      <w:r>
        <w:rPr>
          <w:rFonts w:eastAsia="黑体"/>
          <w:color w:val="000000" w:themeColor="text1"/>
          <w:sz w:val="30"/>
          <w:u w:val="none" w:color="auto"/>
          <w:shd w:val="clear" w:fill="auto"/>
          <w14:textFill>
            <w14:solidFill>
              <w14:schemeClr w14:val="tx1"/>
            </w14:solidFill>
          </w14:textFill>
        </w:rPr>
        <w:t>编制目的</w:t>
      </w:r>
    </w:p>
    <w:p w14:paraId="70DFED3F">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立足山阴县“十五五”经济社会发展新要求，主动衔接各行业各部门专项规划，严守空间安全底线和三条控制线，不突破国土空间总体规划既定目标任务；依托规划体检评估成果，优化国土空间分区与中心城区用地布局，动态更新重点项目清单、化解历史遗留矛盾，精准保障重大战略、重点产业及重大项目空间需求，持续提升规划科学性与适配性，为全县“十五五”高质量发展筑牢坚实空间支撑。</w:t>
      </w:r>
    </w:p>
    <w:p w14:paraId="6B04944F">
      <w:pPr>
        <w:pStyle w:val="3"/>
        <w:spacing w:before="0" w:after="0" w:line="600" w:lineRule="exact"/>
        <w:ind w:firstLine="600" w:firstLineChars="200"/>
        <w:jc w:val="both"/>
        <w:rPr>
          <w:rFonts w:hint="eastAsia" w:eastAsia="方正小标宋简体"/>
          <w:color w:val="000000" w:themeColor="text1"/>
          <w:sz w:val="36"/>
          <w:u w:val="none" w:color="auto"/>
          <w:shd w:val="clear" w:fill="auto"/>
          <w14:textFill>
            <w14:solidFill>
              <w14:schemeClr w14:val="tx1"/>
            </w14:solidFill>
          </w14:textFill>
        </w:rPr>
      </w:pPr>
      <w:r>
        <w:rPr>
          <w:rFonts w:hint="eastAsia" w:eastAsia="黑体"/>
          <w:color w:val="000000" w:themeColor="text1"/>
          <w:sz w:val="30"/>
          <w:u w:val="none" w:color="auto"/>
          <w:shd w:val="clear" w:fill="auto"/>
          <w14:textFill>
            <w14:solidFill>
              <w14:schemeClr w14:val="tx1"/>
            </w14:solidFill>
          </w14:textFill>
        </w:rPr>
        <w:t>三、编制范围</w:t>
      </w:r>
    </w:p>
    <w:p w14:paraId="29BA8C38">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本次动态维护工作的空间覆盖范围与已批复的《山阴县国土空间总体规划（2021—2035年）》范围一致</w:t>
      </w:r>
      <w:r>
        <w:rPr>
          <w:rFonts w:hint="eastAsia" w:ascii="Times New Roman" w:hAnsi="Times New Roman" w:eastAsia="仿宋" w:cs="Times New Roman"/>
          <w:kern w:val="0"/>
          <w:sz w:val="32"/>
          <w:szCs w:val="32"/>
          <w:u w:val="none" w:color="auto"/>
          <w:shd w:val="clear" w:fill="auto"/>
        </w:rPr>
        <w:t>。</w:t>
      </w:r>
    </w:p>
    <w:p w14:paraId="74A1FB02">
      <w:pPr>
        <w:pStyle w:val="3"/>
        <w:spacing w:before="0" w:after="0" w:line="600" w:lineRule="exact"/>
        <w:ind w:firstLine="600" w:firstLineChars="200"/>
        <w:jc w:val="both"/>
        <w:rPr>
          <w:rFonts w:hint="eastAsia" w:eastAsia="黑体"/>
          <w:color w:val="000000" w:themeColor="text1"/>
          <w:sz w:val="30"/>
          <w:u w:val="none" w:color="auto"/>
          <w:shd w:val="clear" w:fill="auto"/>
          <w14:textFill>
            <w14:solidFill>
              <w14:schemeClr w14:val="tx1"/>
            </w14:solidFill>
          </w14:textFill>
        </w:rPr>
      </w:pPr>
      <w:r>
        <w:rPr>
          <w:rFonts w:hint="eastAsia" w:eastAsia="黑体"/>
          <w:color w:val="000000" w:themeColor="text1"/>
          <w:sz w:val="30"/>
          <w:u w:val="none" w:color="auto"/>
          <w:shd w:val="clear" w:fill="auto"/>
          <w14:textFill>
            <w14:solidFill>
              <w14:schemeClr w14:val="tx1"/>
            </w14:solidFill>
          </w14:textFill>
        </w:rPr>
        <w:t>四、</w:t>
      </w:r>
      <w:r>
        <w:rPr>
          <w:rFonts w:eastAsia="黑体"/>
          <w:color w:val="000000" w:themeColor="text1"/>
          <w:sz w:val="30"/>
          <w:u w:val="none" w:color="auto"/>
          <w:shd w:val="clear" w:fill="auto"/>
          <w14:textFill>
            <w14:solidFill>
              <w14:schemeClr w14:val="tx1"/>
            </w14:solidFill>
          </w14:textFill>
        </w:rPr>
        <w:t>编制原则</w:t>
      </w:r>
    </w:p>
    <w:p w14:paraId="09502833">
      <w:pPr>
        <w:widowControl/>
        <w:spacing w:after="0" w:line="560" w:lineRule="exact"/>
        <w:ind w:firstLine="643" w:firstLineChars="200"/>
        <w:jc w:val="both"/>
        <w:rPr>
          <w:rFonts w:ascii="Times New Roman" w:hAnsi="Times New Roman" w:eastAsia="仿宋" w:cs="Times New Roman"/>
          <w:b/>
          <w:kern w:val="0"/>
          <w:sz w:val="32"/>
          <w:szCs w:val="32"/>
          <w:u w:val="none" w:color="auto"/>
          <w:shd w:val="clear" w:fill="auto"/>
        </w:rPr>
      </w:pPr>
      <w:r>
        <w:rPr>
          <w:rFonts w:hint="eastAsia" w:ascii="Times New Roman" w:hAnsi="Times New Roman" w:eastAsia="仿宋" w:cs="Times New Roman"/>
          <w:b/>
          <w:kern w:val="0"/>
          <w:sz w:val="32"/>
          <w:szCs w:val="32"/>
          <w:u w:val="none" w:color="auto"/>
          <w:shd w:val="clear" w:fill="auto"/>
        </w:rPr>
        <w:t>1.</w:t>
      </w:r>
      <w:r>
        <w:rPr>
          <w:rFonts w:ascii="Times New Roman" w:hAnsi="Times New Roman" w:eastAsia="仿宋" w:cs="Times New Roman"/>
          <w:b/>
          <w:kern w:val="0"/>
          <w:sz w:val="32"/>
          <w:szCs w:val="32"/>
          <w:u w:val="none" w:color="auto"/>
          <w:shd w:val="clear" w:fill="auto"/>
        </w:rPr>
        <w:t>坚持底线约束与总量管控原则。</w:t>
      </w:r>
    </w:p>
    <w:p w14:paraId="0527848D">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坚决维护国土空间规划、“三区三线”划定成果的严肃性和权威性，严守生态保护红线、耕地和永久基本农田保护底线，确保规划目标指标不低于总体规划确定的规模，不突破总体规划确定的保护目标任务，不改变总体规划确定的空间结构和总体格局。</w:t>
      </w:r>
    </w:p>
    <w:p w14:paraId="2E63136B">
      <w:pPr>
        <w:widowControl/>
        <w:spacing w:after="0" w:line="560" w:lineRule="exact"/>
        <w:ind w:firstLine="643" w:firstLineChars="200"/>
        <w:jc w:val="both"/>
        <w:rPr>
          <w:rFonts w:ascii="Times New Roman" w:hAnsi="Times New Roman" w:eastAsia="仿宋" w:cs="Times New Roman"/>
          <w:b/>
          <w:kern w:val="0"/>
          <w:sz w:val="32"/>
          <w:szCs w:val="32"/>
          <w:u w:val="none" w:color="auto"/>
          <w:shd w:val="clear" w:fill="auto"/>
        </w:rPr>
      </w:pPr>
      <w:r>
        <w:rPr>
          <w:rFonts w:hint="eastAsia" w:ascii="Times New Roman" w:hAnsi="Times New Roman" w:eastAsia="仿宋" w:cs="Times New Roman"/>
          <w:b/>
          <w:kern w:val="0"/>
          <w:sz w:val="32"/>
          <w:szCs w:val="32"/>
          <w:u w:val="none" w:color="auto"/>
          <w:shd w:val="clear" w:fill="auto"/>
        </w:rPr>
        <w:t>2.</w:t>
      </w:r>
      <w:r>
        <w:rPr>
          <w:rFonts w:ascii="Times New Roman" w:hAnsi="Times New Roman" w:eastAsia="仿宋" w:cs="Times New Roman"/>
          <w:b/>
          <w:kern w:val="0"/>
          <w:sz w:val="32"/>
          <w:szCs w:val="32"/>
          <w:u w:val="none" w:color="auto"/>
          <w:shd w:val="clear" w:fill="auto"/>
        </w:rPr>
        <w:t>坚持正向优化与质量提升原则。</w:t>
      </w:r>
    </w:p>
    <w:p w14:paraId="5814BC69">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遵循“三条控制线”现行相关法律法规和政策文件，按照正向优化标准开展动态维护，确保耕地数量不减少、质量有提升、布局更优化；生态红线任务不减少、功能有提升、布局更完善；城镇空间总量不突破、布局更集聚、城镇功能品质有提升。</w:t>
      </w:r>
    </w:p>
    <w:p w14:paraId="1D5D2F91">
      <w:pPr>
        <w:widowControl/>
        <w:spacing w:after="0" w:line="560" w:lineRule="exact"/>
        <w:ind w:firstLine="643" w:firstLineChars="200"/>
        <w:jc w:val="both"/>
        <w:rPr>
          <w:rFonts w:ascii="Times New Roman" w:hAnsi="Times New Roman" w:eastAsia="仿宋" w:cs="Times New Roman"/>
          <w:b/>
          <w:kern w:val="0"/>
          <w:sz w:val="32"/>
          <w:szCs w:val="32"/>
          <w:u w:val="none" w:color="auto"/>
          <w:shd w:val="clear" w:fill="auto"/>
        </w:rPr>
      </w:pPr>
      <w:r>
        <w:rPr>
          <w:rFonts w:hint="eastAsia" w:ascii="Times New Roman" w:hAnsi="Times New Roman" w:eastAsia="仿宋" w:cs="Times New Roman"/>
          <w:b/>
          <w:kern w:val="0"/>
          <w:sz w:val="32"/>
          <w:szCs w:val="32"/>
          <w:u w:val="none" w:color="auto"/>
          <w:shd w:val="clear" w:fill="auto"/>
        </w:rPr>
        <w:t>3.</w:t>
      </w:r>
      <w:r>
        <w:rPr>
          <w:rFonts w:ascii="Times New Roman" w:hAnsi="Times New Roman" w:eastAsia="仿宋" w:cs="Times New Roman"/>
          <w:b/>
          <w:kern w:val="0"/>
          <w:sz w:val="32"/>
          <w:szCs w:val="32"/>
          <w:u w:val="none" w:color="auto"/>
          <w:shd w:val="clear" w:fill="auto"/>
        </w:rPr>
        <w:t>坚持问题导向与系统统筹原则。</w:t>
      </w:r>
    </w:p>
    <w:p w14:paraId="2E8CE1E9">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以国土空间总体规划体检评估为前提，实事求是掌握规划实施情况，准确研判面临的实际问题，夯实动态维护方案编制基础。遵循国土空间规划总体目标，推动农业、生态、城镇空间功能布局整体优化，提升国土空间资源要素配置效率。</w:t>
      </w:r>
    </w:p>
    <w:p w14:paraId="05F9A52F">
      <w:pPr>
        <w:widowControl/>
        <w:spacing w:after="0" w:line="560" w:lineRule="exact"/>
        <w:ind w:firstLine="643" w:firstLineChars="200"/>
        <w:jc w:val="both"/>
        <w:rPr>
          <w:rFonts w:ascii="Times New Roman" w:hAnsi="Times New Roman" w:eastAsia="仿宋" w:cs="Times New Roman"/>
          <w:b/>
          <w:kern w:val="0"/>
          <w:sz w:val="32"/>
          <w:szCs w:val="32"/>
          <w:u w:val="none" w:color="auto"/>
          <w:shd w:val="clear" w:fill="auto"/>
        </w:rPr>
      </w:pPr>
      <w:r>
        <w:rPr>
          <w:rFonts w:hint="eastAsia" w:ascii="Times New Roman" w:hAnsi="Times New Roman" w:eastAsia="仿宋" w:cs="Times New Roman"/>
          <w:b/>
          <w:kern w:val="0"/>
          <w:sz w:val="32"/>
          <w:szCs w:val="32"/>
          <w:u w:val="none" w:color="auto"/>
          <w:shd w:val="clear" w:fill="auto"/>
        </w:rPr>
        <w:t>4.</w:t>
      </w:r>
      <w:r>
        <w:rPr>
          <w:rFonts w:ascii="Times New Roman" w:hAnsi="Times New Roman" w:eastAsia="仿宋" w:cs="Times New Roman"/>
          <w:b/>
          <w:kern w:val="0"/>
          <w:sz w:val="32"/>
          <w:szCs w:val="32"/>
          <w:u w:val="none" w:color="auto"/>
          <w:shd w:val="clear" w:fill="auto"/>
        </w:rPr>
        <w:t>坚持数字赋能与智慧管理原则。</w:t>
      </w:r>
    </w:p>
    <w:p w14:paraId="6DC37258">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依托国土空间规划“一张图”实施监督信息系统，支撑规划动态维护全流程的规范、高效、精准管理，实现国土空间治理效能持续提升。</w:t>
      </w:r>
    </w:p>
    <w:p w14:paraId="2DD79A22">
      <w:pPr>
        <w:widowControl/>
        <w:spacing w:after="0" w:line="560" w:lineRule="exact"/>
        <w:ind w:firstLine="643" w:firstLineChars="200"/>
        <w:jc w:val="both"/>
        <w:rPr>
          <w:rFonts w:ascii="Times New Roman" w:hAnsi="Times New Roman" w:eastAsia="仿宋" w:cs="Times New Roman"/>
          <w:b/>
          <w:kern w:val="0"/>
          <w:sz w:val="32"/>
          <w:szCs w:val="32"/>
          <w:u w:val="none" w:color="auto"/>
          <w:shd w:val="clear" w:fill="auto"/>
        </w:rPr>
      </w:pPr>
      <w:r>
        <w:rPr>
          <w:rFonts w:hint="eastAsia" w:ascii="Times New Roman" w:hAnsi="Times New Roman" w:eastAsia="仿宋" w:cs="Times New Roman"/>
          <w:b/>
          <w:kern w:val="0"/>
          <w:sz w:val="32"/>
          <w:szCs w:val="32"/>
          <w:u w:val="none" w:color="auto"/>
          <w:shd w:val="clear" w:fill="auto"/>
        </w:rPr>
        <w:t>5.坚持战略引领与主动对接原则</w:t>
      </w:r>
      <w:r>
        <w:rPr>
          <w:rFonts w:ascii="Times New Roman" w:hAnsi="Times New Roman" w:eastAsia="仿宋" w:cs="Times New Roman"/>
          <w:b/>
          <w:kern w:val="0"/>
          <w:sz w:val="32"/>
          <w:szCs w:val="32"/>
          <w:u w:val="none" w:color="auto"/>
          <w:shd w:val="clear" w:fill="auto"/>
        </w:rPr>
        <w:t>。</w:t>
      </w:r>
    </w:p>
    <w:p w14:paraId="7E069DD7">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紧密对接山阴县“十五五”中提出的重大发展战略、重大改革、重大项目，确保国土空间规划有效承载和支撑经济社会发展新要求，提升资源要素配置效率，推动规划落地实施。</w:t>
      </w:r>
    </w:p>
    <w:p w14:paraId="166A6779">
      <w:pPr>
        <w:widowControl/>
        <w:spacing w:after="0" w:line="560" w:lineRule="exact"/>
        <w:ind w:firstLine="643" w:firstLineChars="200"/>
        <w:jc w:val="both"/>
        <w:rPr>
          <w:rFonts w:ascii="Times New Roman" w:hAnsi="Times New Roman" w:eastAsia="仿宋" w:cs="Times New Roman"/>
          <w:b/>
          <w:kern w:val="0"/>
          <w:sz w:val="32"/>
          <w:szCs w:val="32"/>
          <w:u w:val="none" w:color="auto"/>
          <w:shd w:val="clear" w:fill="auto"/>
        </w:rPr>
      </w:pPr>
      <w:r>
        <w:rPr>
          <w:rFonts w:hint="eastAsia" w:ascii="Times New Roman" w:hAnsi="Times New Roman" w:eastAsia="仿宋" w:cs="Times New Roman"/>
          <w:b/>
          <w:kern w:val="0"/>
          <w:sz w:val="32"/>
          <w:szCs w:val="32"/>
          <w:u w:val="none" w:color="auto"/>
          <w:shd w:val="clear" w:fill="auto"/>
        </w:rPr>
        <w:t>6.坚持规范程序与公开透明原则。</w:t>
      </w:r>
    </w:p>
    <w:p w14:paraId="014DD4FA">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严格执行方案编制、征求意见、成果公示、审核审查、报批备案等程序，确保调整过程依法合规、结果公开公正。</w:t>
      </w:r>
    </w:p>
    <w:p w14:paraId="20DAD3EA">
      <w:pPr>
        <w:pStyle w:val="3"/>
        <w:spacing w:before="0" w:after="0" w:line="600" w:lineRule="exact"/>
        <w:ind w:firstLine="600" w:firstLineChars="200"/>
        <w:jc w:val="both"/>
        <w:rPr>
          <w:rFonts w:hint="eastAsia" w:eastAsia="黑体"/>
          <w:color w:val="000000" w:themeColor="text1"/>
          <w:sz w:val="30"/>
          <w:u w:val="none" w:color="auto"/>
          <w:shd w:val="clear" w:fill="auto"/>
          <w14:textFill>
            <w14:solidFill>
              <w14:schemeClr w14:val="tx1"/>
            </w14:solidFill>
          </w14:textFill>
        </w:rPr>
      </w:pPr>
      <w:bookmarkStart w:id="1" w:name="OLE_LINK10"/>
      <w:r>
        <w:rPr>
          <w:rFonts w:hint="eastAsia" w:eastAsia="黑体"/>
          <w:color w:val="000000" w:themeColor="text1"/>
          <w:sz w:val="30"/>
          <w:u w:val="none" w:color="auto"/>
          <w:shd w:val="clear" w:fill="auto"/>
          <w14:textFill>
            <w14:solidFill>
              <w14:schemeClr w14:val="tx1"/>
            </w14:solidFill>
          </w14:textFill>
        </w:rPr>
        <w:t>五</w:t>
      </w:r>
      <w:r>
        <w:rPr>
          <w:rFonts w:eastAsia="黑体"/>
          <w:color w:val="000000" w:themeColor="text1"/>
          <w:sz w:val="30"/>
          <w:u w:val="none" w:color="auto"/>
          <w:shd w:val="clear" w:fill="auto"/>
          <w14:textFill>
            <w14:solidFill>
              <w14:schemeClr w14:val="tx1"/>
            </w14:solidFill>
          </w14:textFill>
        </w:rPr>
        <w:t>、动态维护方案</w:t>
      </w:r>
    </w:p>
    <w:bookmarkEnd w:id="1"/>
    <w:p w14:paraId="541AAF21">
      <w:pPr>
        <w:pStyle w:val="3"/>
        <w:spacing w:before="0" w:after="0" w:line="600" w:lineRule="exact"/>
        <w:ind w:firstLine="600" w:firstLineChars="200"/>
        <w:jc w:val="both"/>
        <w:rPr>
          <w:rFonts w:hint="eastAsia" w:eastAsia="黑体"/>
          <w:color w:val="000000" w:themeColor="text1"/>
          <w:sz w:val="30"/>
          <w:u w:val="none" w:color="auto"/>
          <w:shd w:val="clear" w:fill="auto"/>
          <w14:textFill>
            <w14:solidFill>
              <w14:schemeClr w14:val="tx1"/>
            </w14:solidFill>
          </w14:textFill>
        </w:rPr>
      </w:pPr>
      <w:r>
        <w:rPr>
          <w:rFonts w:eastAsia="黑体"/>
          <w:color w:val="000000" w:themeColor="text1"/>
          <w:sz w:val="30"/>
          <w:u w:val="none" w:color="auto"/>
          <w:shd w:val="clear" w:fill="auto"/>
          <w14:textFill>
            <w14:solidFill>
              <w14:schemeClr w14:val="tx1"/>
            </w14:solidFill>
          </w14:textFill>
        </w:rPr>
        <w:t>（一）</w:t>
      </w:r>
      <w:r>
        <w:rPr>
          <w:rFonts w:hint="eastAsia" w:eastAsia="黑体"/>
          <w:color w:val="000000" w:themeColor="text1"/>
          <w:sz w:val="30"/>
          <w:u w:val="none" w:color="auto"/>
          <w:shd w:val="clear" w:fill="auto"/>
          <w14:textFill>
            <w14:solidFill>
              <w14:schemeClr w14:val="tx1"/>
            </w14:solidFill>
          </w14:textFill>
        </w:rPr>
        <w:t>空间管控边界维护</w:t>
      </w:r>
    </w:p>
    <w:p w14:paraId="62EB912D">
      <w:pPr>
        <w:pStyle w:val="4"/>
        <w:tabs>
          <w:tab w:val="left" w:pos="-420"/>
        </w:tabs>
        <w:spacing w:before="0" w:after="0" w:line="600" w:lineRule="exact"/>
        <w:ind w:firstLine="643" w:firstLineChars="200"/>
        <w:rPr>
          <w:rFonts w:ascii="Times New Roman" w:hAnsi="Times New Roman" w:eastAsia="仿宋" w:cs="Times New Roman"/>
          <w:b/>
          <w:color w:val="auto"/>
          <w:u w:val="none" w:color="auto"/>
          <w:shd w:val="clear" w:fill="auto"/>
        </w:rPr>
      </w:pPr>
      <w:bookmarkStart w:id="2" w:name="_Toc226553950"/>
      <w:r>
        <w:rPr>
          <w:rFonts w:hint="eastAsia" w:ascii="Times New Roman" w:hAnsi="Times New Roman" w:eastAsia="仿宋" w:cs="Times New Roman"/>
          <w:b/>
          <w:color w:val="auto"/>
          <w:u w:val="none" w:color="auto"/>
          <w:shd w:val="clear" w:fill="auto"/>
          <w:lang w:eastAsia="zh-CN"/>
        </w:rPr>
        <w:t>1.</w:t>
      </w:r>
      <w:r>
        <w:rPr>
          <w:rFonts w:hint="eastAsia" w:ascii="Times New Roman" w:hAnsi="Times New Roman" w:eastAsia="仿宋" w:cs="Times New Roman"/>
          <w:b/>
          <w:color w:val="auto"/>
          <w:u w:val="none" w:color="auto"/>
          <w:shd w:val="clear" w:fill="auto"/>
        </w:rPr>
        <w:t>三条控制线维护</w:t>
      </w:r>
      <w:bookmarkEnd w:id="2"/>
    </w:p>
    <w:p w14:paraId="022D559A">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（1）</w:t>
      </w:r>
      <w:r>
        <w:rPr>
          <w:rFonts w:ascii="Times New Roman" w:hAnsi="Times New Roman" w:eastAsia="仿宋" w:cs="Times New Roman"/>
          <w:kern w:val="0"/>
          <w:sz w:val="32"/>
          <w:szCs w:val="32"/>
          <w:u w:val="none" w:color="auto"/>
          <w:shd w:val="clear" w:fill="auto"/>
        </w:rPr>
        <w:t>永久基本农田</w:t>
      </w:r>
    </w:p>
    <w:p w14:paraId="57F5C8F2">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本次动态维护依据《山西省</w:t>
      </w:r>
      <w:r>
        <w:rPr>
          <w:rFonts w:ascii="Times New Roman" w:hAnsi="Times New Roman" w:eastAsia="仿宋" w:cs="Times New Roman"/>
          <w:kern w:val="0"/>
          <w:sz w:val="32"/>
          <w:szCs w:val="32"/>
          <w:u w:val="none" w:color="auto"/>
          <w:shd w:val="clear" w:fill="auto"/>
        </w:rPr>
        <w:t>自然资源厅</w:t>
      </w:r>
      <w:r>
        <w:rPr>
          <w:rFonts w:hint="eastAsia" w:ascii="Times New Roman" w:hAnsi="Times New Roman" w:eastAsia="仿宋" w:cs="Times New Roman"/>
          <w:kern w:val="0"/>
          <w:sz w:val="32"/>
          <w:szCs w:val="32"/>
          <w:u w:val="none" w:color="auto"/>
          <w:shd w:val="clear" w:fill="auto"/>
          <w:lang w:val="en-US" w:eastAsia="zh-CN"/>
        </w:rPr>
        <w:t xml:space="preserve"> </w:t>
      </w:r>
      <w:bookmarkStart w:id="4" w:name="_GoBack"/>
      <w:bookmarkEnd w:id="4"/>
      <w:r>
        <w:rPr>
          <w:rFonts w:ascii="Times New Roman" w:hAnsi="Times New Roman" w:eastAsia="仿宋" w:cs="Times New Roman"/>
          <w:kern w:val="0"/>
          <w:sz w:val="32"/>
          <w:szCs w:val="32"/>
          <w:u w:val="none" w:color="auto"/>
          <w:shd w:val="clear" w:fill="auto"/>
        </w:rPr>
        <w:t>山西省农业农村厅关于加强永久基本农田保护红线管理的通知》</w:t>
      </w:r>
      <w:r>
        <w:rPr>
          <w:rFonts w:hint="eastAsia" w:ascii="Times New Roman" w:hAnsi="Times New Roman" w:eastAsia="仿宋" w:cs="Times New Roman"/>
          <w:kern w:val="0"/>
          <w:sz w:val="32"/>
          <w:szCs w:val="32"/>
          <w:u w:val="none" w:color="auto"/>
          <w:shd w:val="clear" w:fill="auto"/>
          <w:lang w:eastAsia="zh-CN"/>
        </w:rPr>
        <w:t>（</w:t>
      </w:r>
      <w:r>
        <w:rPr>
          <w:rFonts w:ascii="Times New Roman" w:hAnsi="Times New Roman" w:eastAsia="仿宋" w:cs="Times New Roman"/>
          <w:kern w:val="0"/>
          <w:sz w:val="32"/>
          <w:szCs w:val="32"/>
          <w:u w:val="none" w:color="auto"/>
          <w:shd w:val="clear" w:fill="auto"/>
        </w:rPr>
        <w:t>晋自然资发〔202</w:t>
      </w:r>
      <w:r>
        <w:rPr>
          <w:rFonts w:hint="eastAsia" w:ascii="Times New Roman" w:hAnsi="Times New Roman" w:eastAsia="仿宋" w:cs="Times New Roman"/>
          <w:kern w:val="0"/>
          <w:sz w:val="32"/>
          <w:szCs w:val="32"/>
          <w:u w:val="none" w:color="auto"/>
          <w:shd w:val="clear" w:fill="auto"/>
        </w:rPr>
        <w:t>5</w:t>
      </w:r>
      <w:r>
        <w:rPr>
          <w:rFonts w:ascii="Times New Roman" w:hAnsi="Times New Roman" w:eastAsia="仿宋" w:cs="Times New Roman"/>
          <w:kern w:val="0"/>
          <w:sz w:val="32"/>
          <w:szCs w:val="32"/>
          <w:u w:val="none" w:color="auto"/>
          <w:shd w:val="clear" w:fill="auto"/>
        </w:rPr>
        <w:t>〕20号</w:t>
      </w:r>
      <w:r>
        <w:rPr>
          <w:rFonts w:hint="eastAsia" w:ascii="Times New Roman" w:hAnsi="Times New Roman" w:eastAsia="仿宋" w:cs="Times New Roman"/>
          <w:kern w:val="0"/>
          <w:sz w:val="32"/>
          <w:szCs w:val="32"/>
          <w:u w:val="none" w:color="auto"/>
          <w:shd w:val="clear" w:fill="auto"/>
          <w:lang w:eastAsia="zh-CN"/>
        </w:rPr>
        <w:t>）</w:t>
      </w:r>
      <w:r>
        <w:rPr>
          <w:rFonts w:ascii="Times New Roman" w:hAnsi="Times New Roman" w:eastAsia="仿宋" w:cs="Times New Roman"/>
          <w:kern w:val="0"/>
          <w:sz w:val="32"/>
          <w:szCs w:val="32"/>
          <w:u w:val="none" w:color="auto"/>
          <w:shd w:val="clear" w:fill="auto"/>
        </w:rPr>
        <w:t>要求进行调整。优先将可长期稳定利用的优质耕地划入永久基本农田，将零星破碎、不适宜耕种、坡度15度以上等耕地予以调出，实现永久基本农田内耕地优进劣出、集中连片，确保总体规划确定的保护目标不减少、布局更集中、质量有提升。并与正在编制的耕地保护和国土绿化空间专项规划</w:t>
      </w:r>
      <w:r>
        <w:rPr>
          <w:rFonts w:hint="eastAsia" w:ascii="Times New Roman" w:hAnsi="Times New Roman" w:eastAsia="仿宋" w:cs="Times New Roman"/>
          <w:kern w:val="0"/>
          <w:sz w:val="32"/>
          <w:szCs w:val="32"/>
          <w:u w:val="none" w:color="auto"/>
          <w:shd w:val="clear" w:fill="auto"/>
        </w:rPr>
        <w:t>（</w:t>
      </w:r>
      <w:r>
        <w:rPr>
          <w:rFonts w:ascii="Times New Roman" w:hAnsi="Times New Roman" w:eastAsia="仿宋" w:cs="Times New Roman"/>
          <w:kern w:val="0"/>
          <w:sz w:val="32"/>
          <w:szCs w:val="32"/>
          <w:u w:val="none" w:color="auto"/>
          <w:shd w:val="clear" w:fill="auto"/>
        </w:rPr>
        <w:t>现阶段成果</w:t>
      </w:r>
      <w:r>
        <w:rPr>
          <w:rFonts w:hint="eastAsia" w:ascii="Times New Roman" w:hAnsi="Times New Roman" w:eastAsia="仿宋" w:cs="Times New Roman"/>
          <w:kern w:val="0"/>
          <w:sz w:val="32"/>
          <w:szCs w:val="32"/>
          <w:u w:val="none" w:color="auto"/>
          <w:shd w:val="clear" w:fill="auto"/>
        </w:rPr>
        <w:t>）</w:t>
      </w:r>
      <w:r>
        <w:rPr>
          <w:rFonts w:ascii="Times New Roman" w:hAnsi="Times New Roman" w:eastAsia="仿宋" w:cs="Times New Roman"/>
          <w:kern w:val="0"/>
          <w:sz w:val="32"/>
          <w:szCs w:val="32"/>
          <w:u w:val="none" w:color="auto"/>
          <w:shd w:val="clear" w:fill="auto"/>
        </w:rPr>
        <w:t>进行充分衔接。</w:t>
      </w:r>
      <w:r>
        <w:rPr>
          <w:rFonts w:hint="eastAsia" w:ascii="Times New Roman" w:hAnsi="Times New Roman" w:eastAsia="仿宋" w:cs="Times New Roman"/>
          <w:kern w:val="0"/>
          <w:sz w:val="32"/>
          <w:szCs w:val="32"/>
          <w:u w:val="none" w:color="auto"/>
          <w:shd w:val="clear" w:fill="auto"/>
        </w:rPr>
        <w:t>维护后永久基本农田保护面积不低于现行总规确定的</w:t>
      </w:r>
      <w:r>
        <w:rPr>
          <w:rFonts w:ascii="Times New Roman" w:hAnsi="Times New Roman" w:eastAsia="仿宋" w:cs="Times New Roman"/>
          <w:kern w:val="0"/>
          <w:sz w:val="32"/>
          <w:szCs w:val="32"/>
          <w:u w:val="none" w:color="auto"/>
          <w:shd w:val="clear" w:fill="auto"/>
        </w:rPr>
        <w:t>97.39</w:t>
      </w:r>
      <w:r>
        <w:rPr>
          <w:rFonts w:hint="eastAsia" w:ascii="Times New Roman" w:hAnsi="Times New Roman" w:eastAsia="仿宋" w:cs="Times New Roman"/>
          <w:kern w:val="0"/>
          <w:sz w:val="32"/>
          <w:szCs w:val="32"/>
          <w:u w:val="none" w:color="auto"/>
          <w:shd w:val="clear" w:fill="auto"/>
        </w:rPr>
        <w:t>万亩，且</w:t>
      </w:r>
      <w:r>
        <w:rPr>
          <w:rFonts w:ascii="Times New Roman" w:hAnsi="Times New Roman" w:eastAsia="仿宋" w:cs="Times New Roman"/>
          <w:kern w:val="0"/>
          <w:sz w:val="32"/>
          <w:szCs w:val="32"/>
          <w:u w:val="none" w:color="auto"/>
          <w:shd w:val="clear" w:fill="auto"/>
        </w:rPr>
        <w:t>全县永久基本农田集中连片程度有提升，坡度15度以上的耕地面积有所减少</w:t>
      </w:r>
      <w:r>
        <w:rPr>
          <w:rFonts w:hint="eastAsia" w:ascii="Times New Roman" w:hAnsi="Times New Roman" w:eastAsia="仿宋" w:cs="Times New Roman"/>
          <w:kern w:val="0"/>
          <w:sz w:val="32"/>
          <w:szCs w:val="32"/>
          <w:u w:val="none" w:color="auto"/>
          <w:shd w:val="clear" w:fill="auto"/>
        </w:rPr>
        <w:t>，</w:t>
      </w:r>
      <w:r>
        <w:rPr>
          <w:rFonts w:ascii="Times New Roman" w:hAnsi="Times New Roman" w:eastAsia="仿宋" w:cs="Times New Roman"/>
          <w:kern w:val="0"/>
          <w:sz w:val="32"/>
          <w:szCs w:val="32"/>
          <w:u w:val="none" w:color="auto"/>
          <w:shd w:val="clear" w:fill="auto"/>
        </w:rPr>
        <w:t>符合正向优化要求。</w:t>
      </w:r>
    </w:p>
    <w:p w14:paraId="06AE999E">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（2）</w:t>
      </w:r>
      <w:r>
        <w:rPr>
          <w:rFonts w:ascii="Times New Roman" w:hAnsi="Times New Roman" w:eastAsia="仿宋" w:cs="Times New Roman"/>
          <w:kern w:val="0"/>
          <w:sz w:val="32"/>
          <w:szCs w:val="32"/>
          <w:u w:val="none" w:color="auto"/>
          <w:shd w:val="clear" w:fill="auto"/>
        </w:rPr>
        <w:t>生态保护红线</w:t>
      </w:r>
    </w:p>
    <w:p w14:paraId="54645C55">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本次动态维护不涉及生态保护红线</w:t>
      </w:r>
      <w:r>
        <w:rPr>
          <w:rFonts w:hint="eastAsia" w:ascii="Times New Roman" w:hAnsi="Times New Roman" w:eastAsia="仿宋" w:cs="Times New Roman"/>
          <w:kern w:val="0"/>
          <w:sz w:val="32"/>
          <w:szCs w:val="32"/>
          <w:u w:val="none" w:color="auto"/>
          <w:shd w:val="clear" w:fill="auto"/>
        </w:rPr>
        <w:t>。</w:t>
      </w:r>
    </w:p>
    <w:p w14:paraId="2A6EB198">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（3）</w:t>
      </w:r>
      <w:r>
        <w:rPr>
          <w:rFonts w:ascii="Times New Roman" w:hAnsi="Times New Roman" w:eastAsia="仿宋" w:cs="Times New Roman"/>
          <w:kern w:val="0"/>
          <w:sz w:val="32"/>
          <w:szCs w:val="32"/>
          <w:u w:val="none" w:color="auto"/>
          <w:shd w:val="clear" w:fill="auto"/>
        </w:rPr>
        <w:t>城镇开发边界正向优化</w:t>
      </w:r>
    </w:p>
    <w:p w14:paraId="59E12298">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本次城镇开发边界动态维护严格</w:t>
      </w:r>
      <w:r>
        <w:rPr>
          <w:rFonts w:ascii="Times New Roman" w:hAnsi="Times New Roman" w:eastAsia="仿宋" w:cs="Times New Roman"/>
          <w:kern w:val="0"/>
          <w:sz w:val="32"/>
          <w:szCs w:val="32"/>
          <w:u w:val="none" w:color="auto"/>
          <w:shd w:val="clear" w:fill="auto"/>
        </w:rPr>
        <w:t>遵循“总量不突破、布局更集聚、功能品质有提升”的原则</w:t>
      </w:r>
      <w:r>
        <w:rPr>
          <w:rFonts w:hint="eastAsia" w:ascii="Times New Roman" w:hAnsi="Times New Roman" w:eastAsia="仿宋" w:cs="Times New Roman"/>
          <w:kern w:val="0"/>
          <w:sz w:val="32"/>
          <w:szCs w:val="32"/>
          <w:u w:val="none" w:color="auto"/>
          <w:shd w:val="clear" w:fill="auto"/>
        </w:rPr>
        <w:t>，在城镇开发边界总面积和扩展倍数不增加的前提下，按照国土空间总体规划明确的发展定位和城镇空间格局，持续优化城市功能布局和空间结构，依托原城镇开发边界开展局部优化，确保城镇开发边界布局更集聚，推动城镇空间集中连片、集约高效利用，实现城镇功能品质总体提高。</w:t>
      </w:r>
    </w:p>
    <w:p w14:paraId="0D934F4D">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动态维护后，全县城镇开发边界</w:t>
      </w:r>
      <w:r>
        <w:rPr>
          <w:rFonts w:hint="eastAsia" w:ascii="Times New Roman" w:hAnsi="Times New Roman" w:eastAsia="仿宋" w:cs="Times New Roman"/>
          <w:kern w:val="0"/>
          <w:sz w:val="32"/>
          <w:szCs w:val="32"/>
          <w:u w:val="none" w:color="auto"/>
          <w:shd w:val="clear" w:fill="auto"/>
        </w:rPr>
        <w:t>规模</w:t>
      </w:r>
      <w:r>
        <w:rPr>
          <w:rFonts w:ascii="Times New Roman" w:hAnsi="Times New Roman" w:eastAsia="仿宋" w:cs="Times New Roman"/>
          <w:kern w:val="0"/>
          <w:sz w:val="32"/>
          <w:szCs w:val="32"/>
          <w:u w:val="none" w:color="auto"/>
          <w:shd w:val="clear" w:fill="auto"/>
        </w:rPr>
        <w:t>3390.79</w:t>
      </w:r>
      <w:r>
        <w:rPr>
          <w:rFonts w:hint="eastAsia" w:ascii="Times New Roman" w:hAnsi="Times New Roman" w:eastAsia="仿宋" w:cs="Times New Roman"/>
          <w:kern w:val="0"/>
          <w:sz w:val="32"/>
          <w:szCs w:val="32"/>
          <w:u w:val="none" w:color="auto"/>
          <w:shd w:val="clear" w:fill="auto"/>
        </w:rPr>
        <w:t>公顷。扩展倍数保持不变，仍控制在2020年城镇建设用地规模的1.27倍以内，符合正向优化要求。</w:t>
      </w:r>
    </w:p>
    <w:p w14:paraId="66518DBF">
      <w:pPr>
        <w:pStyle w:val="4"/>
        <w:tabs>
          <w:tab w:val="left" w:pos="-420"/>
        </w:tabs>
        <w:spacing w:before="0" w:after="0" w:line="600" w:lineRule="exact"/>
        <w:ind w:firstLine="643" w:firstLineChars="200"/>
        <w:rPr>
          <w:rFonts w:ascii="Times New Roman" w:hAnsi="Times New Roman" w:eastAsia="仿宋" w:cs="Times New Roman"/>
          <w:b/>
          <w:color w:val="auto"/>
          <w:u w:val="none" w:color="auto"/>
          <w:shd w:val="clear" w:fill="auto"/>
        </w:rPr>
      </w:pPr>
      <w:bookmarkStart w:id="3" w:name="_Toc226553951"/>
      <w:r>
        <w:rPr>
          <w:rFonts w:hint="eastAsia" w:ascii="Times New Roman" w:hAnsi="Times New Roman" w:eastAsia="仿宋" w:cs="Times New Roman"/>
          <w:b/>
          <w:color w:val="auto"/>
          <w:u w:val="none" w:color="auto"/>
          <w:shd w:val="clear" w:fill="auto"/>
          <w:lang w:eastAsia="zh-CN"/>
        </w:rPr>
        <w:t>2.</w:t>
      </w:r>
      <w:r>
        <w:rPr>
          <w:rFonts w:hint="eastAsia" w:ascii="Times New Roman" w:hAnsi="Times New Roman" w:eastAsia="仿宋" w:cs="Times New Roman"/>
          <w:b/>
          <w:color w:val="auto"/>
          <w:u w:val="none" w:color="auto"/>
          <w:shd w:val="clear" w:fill="auto"/>
        </w:rPr>
        <w:t>其他空间</w:t>
      </w:r>
      <w:r>
        <w:rPr>
          <w:rFonts w:hint="eastAsia" w:ascii="Times New Roman" w:hAnsi="Times New Roman" w:eastAsia="仿宋" w:cs="Times New Roman"/>
          <w:b/>
          <w:color w:val="auto"/>
          <w:u w:val="none" w:color="auto"/>
          <w:shd w:val="clear" w:fill="auto"/>
        </w:rPr>
        <w:t>管控</w:t>
      </w:r>
      <w:r>
        <w:rPr>
          <w:rFonts w:hint="eastAsia" w:ascii="Times New Roman" w:hAnsi="Times New Roman" w:eastAsia="仿宋" w:cs="Times New Roman"/>
          <w:b/>
          <w:color w:val="auto"/>
          <w:u w:val="none" w:color="auto"/>
          <w:shd w:val="clear" w:fill="auto"/>
        </w:rPr>
        <w:t>边界维护</w:t>
      </w:r>
      <w:bookmarkEnd w:id="3"/>
    </w:p>
    <w:p w14:paraId="1C4A3273">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本次动态维护不涉及历史文化保护线</w:t>
      </w:r>
      <w:r>
        <w:rPr>
          <w:rFonts w:hint="eastAsia" w:ascii="Times New Roman" w:hAnsi="Times New Roman" w:eastAsia="仿宋" w:cs="Times New Roman"/>
          <w:kern w:val="0"/>
          <w:sz w:val="32"/>
          <w:szCs w:val="32"/>
          <w:u w:val="none" w:color="auto"/>
          <w:shd w:val="clear" w:fill="auto"/>
        </w:rPr>
        <w:t>和</w:t>
      </w:r>
      <w:r>
        <w:rPr>
          <w:rFonts w:ascii="Times New Roman" w:hAnsi="Times New Roman" w:eastAsia="仿宋" w:cs="Times New Roman"/>
          <w:kern w:val="0"/>
          <w:sz w:val="32"/>
          <w:szCs w:val="32"/>
          <w:u w:val="none" w:color="auto"/>
          <w:shd w:val="clear" w:fill="auto"/>
        </w:rPr>
        <w:t>洪涝风险控制线。</w:t>
      </w:r>
    </w:p>
    <w:p w14:paraId="2E1318E0">
      <w:pPr>
        <w:pStyle w:val="3"/>
        <w:spacing w:before="0" w:after="0" w:line="600" w:lineRule="exact"/>
        <w:ind w:firstLine="600" w:firstLineChars="200"/>
        <w:jc w:val="both"/>
        <w:rPr>
          <w:rFonts w:hint="eastAsia" w:eastAsia="黑体"/>
          <w:color w:val="000000" w:themeColor="text1"/>
          <w:sz w:val="30"/>
          <w:u w:val="none" w:color="auto"/>
          <w:shd w:val="clear" w:fill="auto"/>
          <w14:textFill>
            <w14:solidFill>
              <w14:schemeClr w14:val="tx1"/>
            </w14:solidFill>
          </w14:textFill>
        </w:rPr>
      </w:pPr>
      <w:r>
        <w:rPr>
          <w:rFonts w:hint="eastAsia" w:eastAsia="黑体"/>
          <w:color w:val="000000" w:themeColor="text1"/>
          <w:sz w:val="30"/>
          <w:u w:val="none" w:color="auto"/>
          <w:shd w:val="clear" w:fill="auto"/>
          <w14:textFill>
            <w14:solidFill>
              <w14:schemeClr w14:val="tx1"/>
            </w14:solidFill>
          </w14:textFill>
        </w:rPr>
        <w:t>（二）规划分区</w:t>
      </w:r>
      <w:r>
        <w:rPr>
          <w:rFonts w:eastAsia="黑体"/>
          <w:color w:val="000000" w:themeColor="text1"/>
          <w:sz w:val="30"/>
          <w:u w:val="none" w:color="auto"/>
          <w:shd w:val="clear" w:fill="auto"/>
          <w14:textFill>
            <w14:solidFill>
              <w14:schemeClr w14:val="tx1"/>
            </w14:solidFill>
          </w14:textFill>
        </w:rPr>
        <w:t>维护</w:t>
      </w:r>
    </w:p>
    <w:p w14:paraId="706EAEB4">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本次规划分区动态维护主要依据永久基本农田、城镇开发边界等重要控制线调整，以及结合重点建设项目相关调整对规划分区进行维护，对农田保护区、生态控制区、城镇发展区、乡村发展区、矿产能源发展区的范围进行优化，</w:t>
      </w:r>
      <w:r>
        <w:rPr>
          <w:rFonts w:ascii="Times New Roman" w:hAnsi="Times New Roman" w:eastAsia="仿宋" w:cs="Times New Roman"/>
          <w:kern w:val="0"/>
          <w:sz w:val="32"/>
          <w:szCs w:val="32"/>
          <w:u w:val="none" w:color="auto"/>
          <w:shd w:val="clear" w:fill="auto"/>
        </w:rPr>
        <w:t>确保空间管控边界布局与规划分区内容相匹配</w:t>
      </w:r>
      <w:r>
        <w:rPr>
          <w:rFonts w:hint="eastAsia" w:ascii="Times New Roman" w:hAnsi="Times New Roman" w:eastAsia="仿宋" w:cs="Times New Roman"/>
          <w:kern w:val="0"/>
          <w:sz w:val="32"/>
          <w:szCs w:val="32"/>
          <w:u w:val="none" w:color="auto"/>
          <w:shd w:val="clear" w:fill="auto"/>
        </w:rPr>
        <w:t>，不增加分区类型。</w:t>
      </w:r>
    </w:p>
    <w:p w14:paraId="61312028">
      <w:pPr>
        <w:pStyle w:val="3"/>
        <w:spacing w:before="0" w:after="0" w:line="600" w:lineRule="exact"/>
        <w:ind w:firstLine="600" w:firstLineChars="200"/>
        <w:jc w:val="both"/>
        <w:rPr>
          <w:rFonts w:hint="eastAsia" w:eastAsia="黑体"/>
          <w:color w:val="000000" w:themeColor="text1"/>
          <w:sz w:val="30"/>
          <w:u w:val="none" w:color="auto"/>
          <w:shd w:val="clear" w:fill="auto"/>
          <w14:textFill>
            <w14:solidFill>
              <w14:schemeClr w14:val="tx1"/>
            </w14:solidFill>
          </w14:textFill>
        </w:rPr>
      </w:pPr>
      <w:r>
        <w:rPr>
          <w:rFonts w:hint="eastAsia" w:eastAsia="黑体"/>
          <w:color w:val="000000" w:themeColor="text1"/>
          <w:sz w:val="30"/>
          <w:u w:val="none" w:color="auto"/>
          <w:shd w:val="clear" w:fill="auto"/>
          <w14:textFill>
            <w14:solidFill>
              <w14:schemeClr w14:val="tx1"/>
            </w14:solidFill>
          </w14:textFill>
        </w:rPr>
        <w:t>（三）中心城区用地规划布局</w:t>
      </w:r>
      <w:r>
        <w:rPr>
          <w:rFonts w:eastAsia="黑体"/>
          <w:color w:val="000000" w:themeColor="text1"/>
          <w:sz w:val="30"/>
          <w:u w:val="none" w:color="auto"/>
          <w:shd w:val="clear" w:fill="auto"/>
          <w14:textFill>
            <w14:solidFill>
              <w14:schemeClr w14:val="tx1"/>
            </w14:solidFill>
          </w14:textFill>
        </w:rPr>
        <w:t>维护</w:t>
      </w:r>
    </w:p>
    <w:p w14:paraId="1DC263DF">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1.</w:t>
      </w:r>
      <w:r>
        <w:rPr>
          <w:rFonts w:ascii="Times New Roman" w:hAnsi="Times New Roman" w:eastAsia="仿宋" w:cs="Times New Roman"/>
          <w:kern w:val="0"/>
          <w:sz w:val="32"/>
          <w:szCs w:val="32"/>
          <w:u w:val="none" w:color="auto"/>
          <w:shd w:val="clear" w:fill="auto"/>
        </w:rPr>
        <w:t>中心城区用地规划布局维护</w:t>
      </w:r>
    </w:p>
    <w:p w14:paraId="4F0CCA30">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在保持中心城区整体格局与空间架构不变的基础上，结合城镇开发边界动态维护及民生配套设施建设实际需求，对中心城区用地布局进行合理优化微调，进一步补齐城市功能、完善空间体系。本次中心城区用地布局动态维护全程严守各类管控规则与底线要求，适配山阴县重大项目落地、产业转型提质和经济社会高质量发展现实需要，既牢牢守住空间安全管控底线，又优化用地结构、完善城市服务功能、保障群众生产生活配套，有效提升国土空间规划对近期发展建设的适配度与落地实施的可行性。</w:t>
      </w:r>
    </w:p>
    <w:p w14:paraId="2A7F2F65">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lang w:eastAsia="zh-CN"/>
        </w:rPr>
        <w:t>2.</w:t>
      </w:r>
      <w:r>
        <w:rPr>
          <w:rFonts w:hint="eastAsia" w:ascii="Times New Roman" w:hAnsi="Times New Roman" w:eastAsia="仿宋" w:cs="Times New Roman"/>
          <w:kern w:val="0"/>
          <w:sz w:val="32"/>
          <w:szCs w:val="32"/>
          <w:u w:val="none" w:color="auto"/>
          <w:shd w:val="clear" w:fill="auto"/>
        </w:rPr>
        <w:t>城市“四线”维护</w:t>
      </w:r>
    </w:p>
    <w:p w14:paraId="65869D8B">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ascii="Times New Roman" w:hAnsi="Times New Roman" w:eastAsia="仿宋" w:cs="Times New Roman"/>
          <w:kern w:val="0"/>
          <w:sz w:val="32"/>
          <w:szCs w:val="32"/>
          <w:u w:val="none" w:color="auto"/>
          <w:shd w:val="clear" w:fill="auto"/>
        </w:rPr>
        <w:t>本次中心城区布局调整不涉及城市四线，故本次动态维护暂不对山阴县城市绿线、城市蓝线、城市紫线和城市黄线进行调整。</w:t>
      </w:r>
    </w:p>
    <w:p w14:paraId="1240F085">
      <w:pPr>
        <w:pStyle w:val="3"/>
        <w:spacing w:before="0" w:after="0" w:line="600" w:lineRule="exact"/>
        <w:ind w:firstLine="600" w:firstLineChars="200"/>
        <w:jc w:val="both"/>
        <w:rPr>
          <w:rFonts w:hint="eastAsia" w:eastAsia="黑体"/>
          <w:color w:val="000000" w:themeColor="text1"/>
          <w:sz w:val="30"/>
          <w:u w:val="none" w:color="auto"/>
          <w:shd w:val="clear" w:fill="auto"/>
          <w14:textFill>
            <w14:solidFill>
              <w14:schemeClr w14:val="tx1"/>
            </w14:solidFill>
          </w14:textFill>
        </w:rPr>
      </w:pPr>
      <w:r>
        <w:rPr>
          <w:rFonts w:hint="eastAsia" w:eastAsia="黑体"/>
          <w:color w:val="000000" w:themeColor="text1"/>
          <w:sz w:val="30"/>
          <w:u w:val="none" w:color="auto"/>
          <w:shd w:val="clear" w:fill="auto"/>
          <w14:textFill>
            <w14:solidFill>
              <w14:schemeClr w14:val="tx1"/>
            </w14:solidFill>
          </w14:textFill>
        </w:rPr>
        <w:t>（四）</w:t>
      </w:r>
      <w:r>
        <w:rPr>
          <w:rFonts w:eastAsia="黑体"/>
          <w:color w:val="000000" w:themeColor="text1"/>
          <w:sz w:val="30"/>
          <w:u w:val="none" w:color="auto"/>
          <w:shd w:val="clear" w:fill="auto"/>
          <w14:textFill>
            <w14:solidFill>
              <w14:schemeClr w14:val="tx1"/>
            </w14:solidFill>
          </w14:textFill>
        </w:rPr>
        <w:t>重点建设项目清单维护</w:t>
      </w:r>
    </w:p>
    <w:p w14:paraId="705B174C">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本次动态维护涉及重点建设</w:t>
      </w:r>
      <w:r>
        <w:rPr>
          <w:rFonts w:hint="eastAsia" w:ascii="Times New Roman" w:hAnsi="Times New Roman" w:eastAsia="仿宋" w:cs="Times New Roman"/>
          <w:kern w:val="0"/>
          <w:sz w:val="32"/>
          <w:szCs w:val="32"/>
          <w:u w:val="none" w:color="auto"/>
          <w:shd w:val="clear" w:fill="auto"/>
        </w:rPr>
        <w:t>项目</w:t>
      </w:r>
      <w:r>
        <w:rPr>
          <w:rFonts w:hint="eastAsia" w:ascii="Times New Roman" w:hAnsi="Times New Roman" w:eastAsia="仿宋" w:cs="Times New Roman"/>
          <w:kern w:val="0"/>
          <w:sz w:val="32"/>
          <w:szCs w:val="32"/>
          <w:u w:val="none" w:color="auto"/>
          <w:shd w:val="clear" w:fill="auto"/>
        </w:rPr>
        <w:t>维护主要包括两部分内容，一是衔接山阴县“十五五”发展规划空间需求，增补交通类、能源类、电力类、水利类、其他类等重点建设项目</w:t>
      </w:r>
      <w:r>
        <w:rPr>
          <w:rFonts w:hint="eastAsia" w:ascii="Times New Roman" w:hAnsi="Times New Roman" w:eastAsia="仿宋" w:cs="Times New Roman"/>
          <w:kern w:val="0"/>
          <w:sz w:val="32"/>
          <w:szCs w:val="32"/>
          <w:u w:val="none" w:color="auto"/>
          <w:shd w:val="clear" w:fill="auto"/>
          <w:lang w:eastAsia="zh-CN"/>
        </w:rPr>
        <w:t>；</w:t>
      </w:r>
      <w:r>
        <w:rPr>
          <w:rFonts w:hint="eastAsia" w:ascii="Times New Roman" w:hAnsi="Times New Roman" w:eastAsia="仿宋" w:cs="Times New Roman"/>
          <w:kern w:val="0"/>
          <w:sz w:val="32"/>
          <w:szCs w:val="32"/>
          <w:u w:val="none" w:color="auto"/>
          <w:shd w:val="clear" w:fill="auto"/>
        </w:rPr>
        <w:t>二是对《总体规划》中重点项目进行动态维护，</w:t>
      </w:r>
      <w:r>
        <w:rPr>
          <w:rFonts w:ascii="Times New Roman" w:hAnsi="Times New Roman" w:eastAsia="仿宋" w:cs="Times New Roman"/>
          <w:kern w:val="0"/>
          <w:sz w:val="32"/>
          <w:szCs w:val="32"/>
          <w:u w:val="none" w:color="auto"/>
          <w:shd w:val="clear" w:fill="auto"/>
        </w:rPr>
        <w:t>根据项目推进过程中名称、选址等变化情况，更新维护项目具体名称、布局等</w:t>
      </w:r>
      <w:r>
        <w:rPr>
          <w:rFonts w:hint="eastAsia" w:ascii="Times New Roman" w:hAnsi="Times New Roman" w:eastAsia="仿宋" w:cs="Times New Roman"/>
          <w:kern w:val="0"/>
          <w:sz w:val="32"/>
          <w:szCs w:val="32"/>
          <w:u w:val="none" w:color="auto"/>
          <w:shd w:val="clear" w:fill="auto"/>
        </w:rPr>
        <w:t>。</w:t>
      </w:r>
    </w:p>
    <w:p w14:paraId="1F64967B">
      <w:pPr>
        <w:pStyle w:val="3"/>
        <w:spacing w:before="0" w:after="0" w:line="600" w:lineRule="exact"/>
        <w:ind w:firstLine="600" w:firstLineChars="200"/>
        <w:jc w:val="both"/>
        <w:rPr>
          <w:rFonts w:hint="eastAsia" w:eastAsia="黑体"/>
          <w:color w:val="000000" w:themeColor="text1"/>
          <w:sz w:val="30"/>
          <w:u w:val="none" w:color="auto"/>
          <w:shd w:val="clear" w:fill="auto"/>
          <w14:textFill>
            <w14:solidFill>
              <w14:schemeClr w14:val="tx1"/>
            </w14:solidFill>
          </w14:textFill>
        </w:rPr>
      </w:pPr>
      <w:r>
        <w:rPr>
          <w:rFonts w:hint="eastAsia" w:eastAsia="黑体"/>
          <w:color w:val="000000" w:themeColor="text1"/>
          <w:sz w:val="30"/>
          <w:u w:val="none" w:color="auto"/>
          <w:shd w:val="clear" w:fill="auto"/>
          <w14:textFill>
            <w14:solidFill>
              <w14:schemeClr w14:val="tx1"/>
            </w14:solidFill>
          </w14:textFill>
        </w:rPr>
        <w:t>六</w:t>
      </w:r>
      <w:r>
        <w:rPr>
          <w:rFonts w:eastAsia="黑体"/>
          <w:color w:val="000000" w:themeColor="text1"/>
          <w:sz w:val="30"/>
          <w:u w:val="none" w:color="auto"/>
          <w:shd w:val="clear" w:fill="auto"/>
          <w14:textFill>
            <w14:solidFill>
              <w14:schemeClr w14:val="tx1"/>
            </w14:solidFill>
          </w14:textFill>
        </w:rPr>
        <w:t>、实施保障</w:t>
      </w:r>
    </w:p>
    <w:p w14:paraId="35619E89">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r>
        <w:rPr>
          <w:rFonts w:hint="eastAsia" w:ascii="Times New Roman" w:hAnsi="Times New Roman" w:eastAsia="仿宋" w:cs="Times New Roman"/>
          <w:kern w:val="0"/>
          <w:sz w:val="32"/>
          <w:szCs w:val="32"/>
          <w:u w:val="none" w:color="auto"/>
          <w:shd w:val="clear" w:fill="auto"/>
        </w:rPr>
        <w:t>严格落实规划动态维护调整要求，及时更新系统成果保障用地报批合规；规范报审流程，衔接“十五五”重点项目空间需求，以三条控制线和规划分区统筹专项规划、落实多规合一，并逐级传导管控要求；健全规划监管体系，依托国土空间监测、年度变更调查及卫片执法，常态化管控三条控制线，完善评估预警、考核问责机制，严肃查处违规行为；依托</w:t>
      </w:r>
      <w:r>
        <w:rPr>
          <w:rFonts w:hint="eastAsia" w:ascii="Times New Roman" w:hAnsi="Times New Roman" w:eastAsia="仿宋" w:cs="Times New Roman"/>
          <w:kern w:val="0"/>
          <w:sz w:val="32"/>
          <w:szCs w:val="32"/>
          <w:u w:val="none" w:color="auto"/>
          <w:shd w:val="clear" w:fill="auto"/>
          <w:lang w:eastAsia="zh-CN"/>
        </w:rPr>
        <w:t>国土空间规划“一张图”</w:t>
      </w:r>
      <w:r>
        <w:rPr>
          <w:rFonts w:hint="eastAsia" w:ascii="Times New Roman" w:hAnsi="Times New Roman" w:eastAsia="仿宋" w:cs="Times New Roman"/>
          <w:kern w:val="0"/>
          <w:sz w:val="32"/>
          <w:szCs w:val="32"/>
          <w:u w:val="none" w:color="auto"/>
          <w:shd w:val="clear" w:fill="auto"/>
        </w:rPr>
        <w:t>系统实现动态维护全流程数字化管理，统一数据标准、线上会审留痕，结合年度调查与规划体检动态更新数据库，确保规划成果与县域发展实际精准适配。</w:t>
      </w:r>
    </w:p>
    <w:p w14:paraId="7D0BC475">
      <w:pPr>
        <w:widowControl/>
        <w:spacing w:after="0" w:line="560" w:lineRule="exact"/>
        <w:ind w:firstLine="640" w:firstLineChars="200"/>
        <w:jc w:val="both"/>
        <w:rPr>
          <w:rFonts w:ascii="Times New Roman" w:hAnsi="Times New Roman" w:eastAsia="仿宋" w:cs="Times New Roman"/>
          <w:kern w:val="0"/>
          <w:sz w:val="32"/>
          <w:szCs w:val="32"/>
          <w:u w:val="none" w:color="auto"/>
          <w:shd w:val="clear" w:fill="auto"/>
        </w:rPr>
      </w:pPr>
    </w:p>
    <w:p w14:paraId="4552BF9A">
      <w:pPr>
        <w:widowControl/>
        <w:spacing w:after="0" w:line="560" w:lineRule="exact"/>
        <w:rPr>
          <w:rFonts w:ascii="Times New Roman" w:hAnsi="Times New Roman" w:eastAsia="仿宋" w:cs="Times New Roman"/>
          <w:kern w:val="0"/>
          <w:sz w:val="32"/>
          <w:szCs w:val="32"/>
          <w:u w:val="none" w:color="auto"/>
          <w:shd w:val="clear" w:fill="auto"/>
        </w:rPr>
        <w:sectPr>
          <w:footerReference r:id="rId6" w:type="default"/>
          <w:pgSz w:w="11906" w:h="16838"/>
          <w:pgMar w:top="1440" w:right="1800" w:bottom="1440" w:left="1800" w:header="851" w:footer="992" w:gutter="0"/>
          <w:pgNumType w:start="1"/>
          <w:cols w:space="425" w:num="1"/>
          <w:docGrid w:type="lines" w:linePitch="312" w:charSpace="0"/>
        </w:sectPr>
      </w:pPr>
    </w:p>
    <w:p w14:paraId="7D1C397C">
      <w:pPr>
        <w:widowControl/>
        <w:spacing w:after="0" w:line="0" w:lineRule="atLeast"/>
        <w:rPr>
          <w:rFonts w:ascii="Times New Roman" w:hAnsi="Times New Roman" w:eastAsia="仿宋" w:cs="Times New Roman"/>
          <w:kern w:val="0"/>
          <w:sz w:val="32"/>
          <w:szCs w:val="32"/>
          <w:u w:val="none" w:color="auto"/>
          <w:shd w:val="clear" w:fill="auto"/>
        </w:rPr>
        <w:sectPr>
          <w:pgSz w:w="16838" w:h="23811"/>
          <w:pgMar w:top="720" w:right="720" w:bottom="720" w:left="720" w:header="851" w:footer="992" w:gutter="0"/>
          <w:pgNumType w:start="1"/>
          <w:cols w:space="425" w:num="1"/>
          <w:docGrid w:type="lines" w:linePitch="312" w:charSpace="0"/>
        </w:sectPr>
      </w:pPr>
      <w:r>
        <w:rPr>
          <w:u w:val="none" w:color="auto"/>
          <w:shd w:val="clear" w:fill="auto"/>
        </w:rPr>
        <w:drawing>
          <wp:inline distT="0" distB="0" distL="0" distR="0">
            <wp:extent cx="9777730" cy="13820775"/>
            <wp:effectExtent l="0" t="0" r="0" b="9525"/>
            <wp:docPr id="1681392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9284"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777730" cy="13820775"/>
                    </a:xfrm>
                    <a:prstGeom prst="rect">
                      <a:avLst/>
                    </a:prstGeom>
                    <a:noFill/>
                    <a:ln>
                      <a:noFill/>
                    </a:ln>
                  </pic:spPr>
                </pic:pic>
              </a:graphicData>
            </a:graphic>
          </wp:inline>
        </w:drawing>
      </w:r>
      <w:r>
        <w:rPr>
          <w:u w:val="none" w:color="auto"/>
          <w:shd w:val="clear" w:fill="auto"/>
        </w:rPr>
        <w:drawing>
          <wp:inline distT="0" distB="0" distL="0" distR="0">
            <wp:extent cx="9777730" cy="13820775"/>
            <wp:effectExtent l="0" t="0" r="0" b="9525"/>
            <wp:docPr id="17786003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00315"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777730" cy="13820775"/>
                    </a:xfrm>
                    <a:prstGeom prst="rect">
                      <a:avLst/>
                    </a:prstGeom>
                    <a:noFill/>
                    <a:ln>
                      <a:noFill/>
                    </a:ln>
                  </pic:spPr>
                </pic:pic>
              </a:graphicData>
            </a:graphic>
          </wp:inline>
        </w:drawing>
      </w:r>
      <w:r>
        <w:rPr>
          <w:u w:val="none" w:color="auto"/>
          <w:shd w:val="clear" w:fill="auto"/>
        </w:rPr>
        <w:drawing>
          <wp:inline distT="0" distB="0" distL="0" distR="0">
            <wp:extent cx="9777730" cy="13820775"/>
            <wp:effectExtent l="0" t="0" r="0" b="9525"/>
            <wp:docPr id="1632398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98232"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777730" cy="13820775"/>
                    </a:xfrm>
                    <a:prstGeom prst="rect">
                      <a:avLst/>
                    </a:prstGeom>
                    <a:noFill/>
                    <a:ln>
                      <a:noFill/>
                    </a:ln>
                  </pic:spPr>
                </pic:pic>
              </a:graphicData>
            </a:graphic>
          </wp:inline>
        </w:drawing>
      </w:r>
    </w:p>
    <w:p w14:paraId="48D37840">
      <w:pPr>
        <w:widowControl/>
        <w:spacing w:after="0" w:line="0" w:lineRule="atLeast"/>
        <w:rPr>
          <w:rFonts w:ascii="Times New Roman" w:hAnsi="Times New Roman" w:eastAsia="仿宋" w:cs="Times New Roman"/>
          <w:kern w:val="0"/>
          <w:sz w:val="32"/>
          <w:szCs w:val="32"/>
          <w:u w:val="none" w:color="auto"/>
          <w:shd w:val="clear" w:fill="auto"/>
        </w:rPr>
      </w:pPr>
      <w:r>
        <w:rPr>
          <w:u w:val="none" w:color="auto"/>
          <w:shd w:val="clear" w:fill="auto"/>
        </w:rPr>
        <w:drawing>
          <wp:inline distT="0" distB="0" distL="0" distR="0">
            <wp:extent cx="13834745" cy="9777730"/>
            <wp:effectExtent l="0" t="0" r="0" b="0"/>
            <wp:docPr id="13612333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337"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834745" cy="9777730"/>
                    </a:xfrm>
                    <a:prstGeom prst="rect">
                      <a:avLst/>
                    </a:prstGeom>
                    <a:noFill/>
                    <a:ln>
                      <a:noFill/>
                    </a:ln>
                  </pic:spPr>
                </pic:pic>
              </a:graphicData>
            </a:graphic>
          </wp:inline>
        </w:drawing>
      </w:r>
    </w:p>
    <w:sectPr>
      <w:pgSz w:w="23811" w:h="16838" w:orient="landscape"/>
      <w:pgMar w:top="720" w:right="720" w:bottom="720" w:left="72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0AFE2">
    <w:pPr>
      <w:pStyle w:val="13"/>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D272">
    <w:pPr>
      <w:pStyle w:val="13"/>
      <w:jc w:val="center"/>
      <w:rPr>
        <w:rFonts w:hint="eastAsia"/>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549"/>
    <w:rsid w:val="0000265D"/>
    <w:rsid w:val="000163BA"/>
    <w:rsid w:val="000168C6"/>
    <w:rsid w:val="000169F0"/>
    <w:rsid w:val="00024625"/>
    <w:rsid w:val="000268B7"/>
    <w:rsid w:val="000331FA"/>
    <w:rsid w:val="00033CCB"/>
    <w:rsid w:val="00035665"/>
    <w:rsid w:val="00040AA3"/>
    <w:rsid w:val="0004548F"/>
    <w:rsid w:val="0006712E"/>
    <w:rsid w:val="00071B71"/>
    <w:rsid w:val="00073ED9"/>
    <w:rsid w:val="00073FFA"/>
    <w:rsid w:val="00074215"/>
    <w:rsid w:val="00076692"/>
    <w:rsid w:val="00087DA1"/>
    <w:rsid w:val="000A0D43"/>
    <w:rsid w:val="000D4DC6"/>
    <w:rsid w:val="000E23B5"/>
    <w:rsid w:val="000F7292"/>
    <w:rsid w:val="001000BA"/>
    <w:rsid w:val="00101104"/>
    <w:rsid w:val="001027FF"/>
    <w:rsid w:val="00112887"/>
    <w:rsid w:val="00141549"/>
    <w:rsid w:val="0014337E"/>
    <w:rsid w:val="001460B8"/>
    <w:rsid w:val="00163B3D"/>
    <w:rsid w:val="001666DD"/>
    <w:rsid w:val="0017093E"/>
    <w:rsid w:val="00176D40"/>
    <w:rsid w:val="00190D49"/>
    <w:rsid w:val="00192E0B"/>
    <w:rsid w:val="0019611F"/>
    <w:rsid w:val="001C58B1"/>
    <w:rsid w:val="001D5185"/>
    <w:rsid w:val="001E0A47"/>
    <w:rsid w:val="001F5D3A"/>
    <w:rsid w:val="00201EE7"/>
    <w:rsid w:val="002036ED"/>
    <w:rsid w:val="00205E08"/>
    <w:rsid w:val="002237CE"/>
    <w:rsid w:val="0024250C"/>
    <w:rsid w:val="0029156E"/>
    <w:rsid w:val="002952EA"/>
    <w:rsid w:val="002A08B8"/>
    <w:rsid w:val="002A6F59"/>
    <w:rsid w:val="002B66C4"/>
    <w:rsid w:val="002C09D5"/>
    <w:rsid w:val="002C47F0"/>
    <w:rsid w:val="002D4B55"/>
    <w:rsid w:val="002E0B08"/>
    <w:rsid w:val="002E4DF8"/>
    <w:rsid w:val="002F3E8F"/>
    <w:rsid w:val="002F6580"/>
    <w:rsid w:val="00304A3E"/>
    <w:rsid w:val="0031662E"/>
    <w:rsid w:val="00336700"/>
    <w:rsid w:val="00337619"/>
    <w:rsid w:val="0034310A"/>
    <w:rsid w:val="0035061D"/>
    <w:rsid w:val="00350F7E"/>
    <w:rsid w:val="003553FC"/>
    <w:rsid w:val="00363F54"/>
    <w:rsid w:val="00364562"/>
    <w:rsid w:val="0038066E"/>
    <w:rsid w:val="00385F13"/>
    <w:rsid w:val="0038793F"/>
    <w:rsid w:val="00387E6D"/>
    <w:rsid w:val="00391A1F"/>
    <w:rsid w:val="00395A77"/>
    <w:rsid w:val="003A2E21"/>
    <w:rsid w:val="003A35FF"/>
    <w:rsid w:val="003B302D"/>
    <w:rsid w:val="003C24A7"/>
    <w:rsid w:val="003C4CB0"/>
    <w:rsid w:val="003C7959"/>
    <w:rsid w:val="003D1210"/>
    <w:rsid w:val="003F0955"/>
    <w:rsid w:val="00400FFE"/>
    <w:rsid w:val="00401424"/>
    <w:rsid w:val="00401B94"/>
    <w:rsid w:val="00402EB8"/>
    <w:rsid w:val="00414CFF"/>
    <w:rsid w:val="00420221"/>
    <w:rsid w:val="00426CD7"/>
    <w:rsid w:val="00431D2C"/>
    <w:rsid w:val="00435C24"/>
    <w:rsid w:val="0046132D"/>
    <w:rsid w:val="004707E1"/>
    <w:rsid w:val="00476BC2"/>
    <w:rsid w:val="0049102F"/>
    <w:rsid w:val="00491CF8"/>
    <w:rsid w:val="00491E4B"/>
    <w:rsid w:val="00495280"/>
    <w:rsid w:val="0049592F"/>
    <w:rsid w:val="004A1CB4"/>
    <w:rsid w:val="004A5B17"/>
    <w:rsid w:val="004B3A9E"/>
    <w:rsid w:val="004B799F"/>
    <w:rsid w:val="004D0944"/>
    <w:rsid w:val="004D3BC4"/>
    <w:rsid w:val="004E1B4E"/>
    <w:rsid w:val="004E48BF"/>
    <w:rsid w:val="004F2AFF"/>
    <w:rsid w:val="004F730F"/>
    <w:rsid w:val="00510746"/>
    <w:rsid w:val="00517877"/>
    <w:rsid w:val="0052091E"/>
    <w:rsid w:val="00521A13"/>
    <w:rsid w:val="00532B28"/>
    <w:rsid w:val="00552E95"/>
    <w:rsid w:val="005565FF"/>
    <w:rsid w:val="005657F1"/>
    <w:rsid w:val="00567C08"/>
    <w:rsid w:val="005806EB"/>
    <w:rsid w:val="0058114B"/>
    <w:rsid w:val="00581AF1"/>
    <w:rsid w:val="005934A0"/>
    <w:rsid w:val="005A4D78"/>
    <w:rsid w:val="005A7812"/>
    <w:rsid w:val="005B2AA8"/>
    <w:rsid w:val="005B402C"/>
    <w:rsid w:val="005B48B1"/>
    <w:rsid w:val="005B73A3"/>
    <w:rsid w:val="005C7609"/>
    <w:rsid w:val="005D1992"/>
    <w:rsid w:val="005E279D"/>
    <w:rsid w:val="005E7935"/>
    <w:rsid w:val="00612910"/>
    <w:rsid w:val="00612AB5"/>
    <w:rsid w:val="00616EDA"/>
    <w:rsid w:val="006175C6"/>
    <w:rsid w:val="00617817"/>
    <w:rsid w:val="00621333"/>
    <w:rsid w:val="006307A9"/>
    <w:rsid w:val="00641645"/>
    <w:rsid w:val="00645DD5"/>
    <w:rsid w:val="006554D3"/>
    <w:rsid w:val="00681067"/>
    <w:rsid w:val="00684363"/>
    <w:rsid w:val="00692943"/>
    <w:rsid w:val="006A768D"/>
    <w:rsid w:val="006A7A82"/>
    <w:rsid w:val="006B6C04"/>
    <w:rsid w:val="006D163C"/>
    <w:rsid w:val="006D3C22"/>
    <w:rsid w:val="006E54A3"/>
    <w:rsid w:val="006E7EA8"/>
    <w:rsid w:val="007230E8"/>
    <w:rsid w:val="00750454"/>
    <w:rsid w:val="0075391D"/>
    <w:rsid w:val="00766EA8"/>
    <w:rsid w:val="00771E9F"/>
    <w:rsid w:val="00777C03"/>
    <w:rsid w:val="0078277D"/>
    <w:rsid w:val="00794D9A"/>
    <w:rsid w:val="007A0986"/>
    <w:rsid w:val="007A0A24"/>
    <w:rsid w:val="007A47A0"/>
    <w:rsid w:val="007A484E"/>
    <w:rsid w:val="007A6621"/>
    <w:rsid w:val="007B62C8"/>
    <w:rsid w:val="007B6429"/>
    <w:rsid w:val="007C1E03"/>
    <w:rsid w:val="007D336B"/>
    <w:rsid w:val="007E3113"/>
    <w:rsid w:val="008022EC"/>
    <w:rsid w:val="00812C1B"/>
    <w:rsid w:val="008150FE"/>
    <w:rsid w:val="00816E7C"/>
    <w:rsid w:val="00820EAA"/>
    <w:rsid w:val="00821B2B"/>
    <w:rsid w:val="008237AE"/>
    <w:rsid w:val="00823D60"/>
    <w:rsid w:val="00827F4F"/>
    <w:rsid w:val="00830799"/>
    <w:rsid w:val="00831D60"/>
    <w:rsid w:val="008345D1"/>
    <w:rsid w:val="00834921"/>
    <w:rsid w:val="00844413"/>
    <w:rsid w:val="008465A0"/>
    <w:rsid w:val="00847886"/>
    <w:rsid w:val="0086620C"/>
    <w:rsid w:val="0087229B"/>
    <w:rsid w:val="008817B8"/>
    <w:rsid w:val="00883DA7"/>
    <w:rsid w:val="00891395"/>
    <w:rsid w:val="00891A21"/>
    <w:rsid w:val="00897BD0"/>
    <w:rsid w:val="008A03B2"/>
    <w:rsid w:val="008A1014"/>
    <w:rsid w:val="008A26D1"/>
    <w:rsid w:val="008A644A"/>
    <w:rsid w:val="008A7685"/>
    <w:rsid w:val="008B57CD"/>
    <w:rsid w:val="008B5CA7"/>
    <w:rsid w:val="008C1985"/>
    <w:rsid w:val="008C6201"/>
    <w:rsid w:val="00901487"/>
    <w:rsid w:val="00914226"/>
    <w:rsid w:val="00915293"/>
    <w:rsid w:val="009346DD"/>
    <w:rsid w:val="00934D2C"/>
    <w:rsid w:val="0094668D"/>
    <w:rsid w:val="00952D7B"/>
    <w:rsid w:val="0096462E"/>
    <w:rsid w:val="00964FE0"/>
    <w:rsid w:val="009709B5"/>
    <w:rsid w:val="0097328D"/>
    <w:rsid w:val="0098195E"/>
    <w:rsid w:val="00986304"/>
    <w:rsid w:val="009A6268"/>
    <w:rsid w:val="009B5337"/>
    <w:rsid w:val="009D271D"/>
    <w:rsid w:val="009D4F47"/>
    <w:rsid w:val="009D762E"/>
    <w:rsid w:val="009E77FC"/>
    <w:rsid w:val="009F63A5"/>
    <w:rsid w:val="00A01039"/>
    <w:rsid w:val="00A175D4"/>
    <w:rsid w:val="00A37079"/>
    <w:rsid w:val="00A37A84"/>
    <w:rsid w:val="00A441F8"/>
    <w:rsid w:val="00A457A0"/>
    <w:rsid w:val="00A513A3"/>
    <w:rsid w:val="00A51A44"/>
    <w:rsid w:val="00A56592"/>
    <w:rsid w:val="00A67CDD"/>
    <w:rsid w:val="00A7090E"/>
    <w:rsid w:val="00A70F9A"/>
    <w:rsid w:val="00A72D51"/>
    <w:rsid w:val="00A75EB7"/>
    <w:rsid w:val="00A81B90"/>
    <w:rsid w:val="00A85BEA"/>
    <w:rsid w:val="00A87685"/>
    <w:rsid w:val="00A87CB4"/>
    <w:rsid w:val="00AB3CEB"/>
    <w:rsid w:val="00AB3E36"/>
    <w:rsid w:val="00AF2511"/>
    <w:rsid w:val="00AF2ACA"/>
    <w:rsid w:val="00AF66FA"/>
    <w:rsid w:val="00B006CB"/>
    <w:rsid w:val="00B007B0"/>
    <w:rsid w:val="00B0227B"/>
    <w:rsid w:val="00B06C7F"/>
    <w:rsid w:val="00B13B86"/>
    <w:rsid w:val="00B20DD7"/>
    <w:rsid w:val="00B214C0"/>
    <w:rsid w:val="00B22062"/>
    <w:rsid w:val="00B31330"/>
    <w:rsid w:val="00B45306"/>
    <w:rsid w:val="00B549B8"/>
    <w:rsid w:val="00B56AA8"/>
    <w:rsid w:val="00B71507"/>
    <w:rsid w:val="00B8090C"/>
    <w:rsid w:val="00B8636A"/>
    <w:rsid w:val="00B86527"/>
    <w:rsid w:val="00B94A35"/>
    <w:rsid w:val="00BA3A20"/>
    <w:rsid w:val="00BA62E3"/>
    <w:rsid w:val="00BB4569"/>
    <w:rsid w:val="00BB4645"/>
    <w:rsid w:val="00BC024E"/>
    <w:rsid w:val="00BD791F"/>
    <w:rsid w:val="00BE1CE6"/>
    <w:rsid w:val="00BF54B2"/>
    <w:rsid w:val="00C0614F"/>
    <w:rsid w:val="00C123C9"/>
    <w:rsid w:val="00C14DC3"/>
    <w:rsid w:val="00C2701B"/>
    <w:rsid w:val="00C30E40"/>
    <w:rsid w:val="00C41104"/>
    <w:rsid w:val="00C5019E"/>
    <w:rsid w:val="00C50CF9"/>
    <w:rsid w:val="00C54514"/>
    <w:rsid w:val="00C546C7"/>
    <w:rsid w:val="00C62477"/>
    <w:rsid w:val="00C71DBA"/>
    <w:rsid w:val="00C72433"/>
    <w:rsid w:val="00C82B65"/>
    <w:rsid w:val="00C90CBE"/>
    <w:rsid w:val="00C947EA"/>
    <w:rsid w:val="00CA6655"/>
    <w:rsid w:val="00CC57CD"/>
    <w:rsid w:val="00CC6720"/>
    <w:rsid w:val="00CD50EE"/>
    <w:rsid w:val="00CD7373"/>
    <w:rsid w:val="00CE2DCF"/>
    <w:rsid w:val="00CE5CE6"/>
    <w:rsid w:val="00D15992"/>
    <w:rsid w:val="00D15AE8"/>
    <w:rsid w:val="00D15BC1"/>
    <w:rsid w:val="00D16777"/>
    <w:rsid w:val="00D261D0"/>
    <w:rsid w:val="00D30F48"/>
    <w:rsid w:val="00D357E3"/>
    <w:rsid w:val="00D3681E"/>
    <w:rsid w:val="00D462EE"/>
    <w:rsid w:val="00D64A51"/>
    <w:rsid w:val="00D64C8C"/>
    <w:rsid w:val="00D71239"/>
    <w:rsid w:val="00D712AC"/>
    <w:rsid w:val="00D73905"/>
    <w:rsid w:val="00D7676E"/>
    <w:rsid w:val="00D83777"/>
    <w:rsid w:val="00D85BC0"/>
    <w:rsid w:val="00D90558"/>
    <w:rsid w:val="00D92E0A"/>
    <w:rsid w:val="00D96AFC"/>
    <w:rsid w:val="00DA0332"/>
    <w:rsid w:val="00DA3C1D"/>
    <w:rsid w:val="00DB62A0"/>
    <w:rsid w:val="00DC3018"/>
    <w:rsid w:val="00DC6EDB"/>
    <w:rsid w:val="00DD3550"/>
    <w:rsid w:val="00DD57B8"/>
    <w:rsid w:val="00DD62BB"/>
    <w:rsid w:val="00DE2450"/>
    <w:rsid w:val="00DE2B4A"/>
    <w:rsid w:val="00DE4B76"/>
    <w:rsid w:val="00E0469B"/>
    <w:rsid w:val="00E15A95"/>
    <w:rsid w:val="00E21083"/>
    <w:rsid w:val="00E31423"/>
    <w:rsid w:val="00E37F5D"/>
    <w:rsid w:val="00E4346A"/>
    <w:rsid w:val="00E434E3"/>
    <w:rsid w:val="00E57057"/>
    <w:rsid w:val="00E57E66"/>
    <w:rsid w:val="00E64B50"/>
    <w:rsid w:val="00E87322"/>
    <w:rsid w:val="00E96BC0"/>
    <w:rsid w:val="00E979FF"/>
    <w:rsid w:val="00EA504C"/>
    <w:rsid w:val="00EB018A"/>
    <w:rsid w:val="00EB3B9F"/>
    <w:rsid w:val="00EC0DCA"/>
    <w:rsid w:val="00EE299E"/>
    <w:rsid w:val="00EE4E2F"/>
    <w:rsid w:val="00EF5D26"/>
    <w:rsid w:val="00F00B34"/>
    <w:rsid w:val="00F01445"/>
    <w:rsid w:val="00F063B2"/>
    <w:rsid w:val="00F2001E"/>
    <w:rsid w:val="00F418ED"/>
    <w:rsid w:val="00F430B2"/>
    <w:rsid w:val="00F478CE"/>
    <w:rsid w:val="00F52388"/>
    <w:rsid w:val="00F63BA4"/>
    <w:rsid w:val="00F63C6A"/>
    <w:rsid w:val="00F71FEA"/>
    <w:rsid w:val="00F75819"/>
    <w:rsid w:val="00F93D5C"/>
    <w:rsid w:val="00F970B8"/>
    <w:rsid w:val="00FA0390"/>
    <w:rsid w:val="00FA0A3C"/>
    <w:rsid w:val="00FA6076"/>
    <w:rsid w:val="00FD157B"/>
    <w:rsid w:val="00FD6E00"/>
    <w:rsid w:val="00FE01DF"/>
    <w:rsid w:val="00FE0C30"/>
    <w:rsid w:val="00FE6A0A"/>
    <w:rsid w:val="00FF0FC0"/>
    <w:rsid w:val="00FF2FA5"/>
    <w:rsid w:val="2A63523C"/>
    <w:rsid w:val="46D35437"/>
    <w:rsid w:val="7DF816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rPr>
  </w:style>
  <w:style w:type="paragraph" w:styleId="2">
    <w:name w:val="heading 1"/>
    <w:basedOn w:val="1"/>
    <w:next w:val="1"/>
    <w:link w:val="25"/>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6"/>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7"/>
    <w:unhideWhenUsed/>
    <w:qFormat/>
    <w:uiPriority w:val="0"/>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8"/>
    <w:unhideWhenUsed/>
    <w:qFormat/>
    <w:uiPriority w:val="0"/>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9"/>
    <w:unhideWhenUsed/>
    <w:qFormat/>
    <w:uiPriority w:val="0"/>
    <w:pPr>
      <w:keepNext/>
      <w:keepLines/>
      <w:spacing w:before="80" w:after="40"/>
      <w:outlineLvl w:val="4"/>
    </w:pPr>
    <w:rPr>
      <w:rFonts w:cstheme="majorBidi"/>
      <w:color w:val="2F5597" w:themeColor="accent1" w:themeShade="BF"/>
      <w:sz w:val="24"/>
    </w:rPr>
  </w:style>
  <w:style w:type="paragraph" w:styleId="7">
    <w:name w:val="heading 6"/>
    <w:basedOn w:val="1"/>
    <w:next w:val="1"/>
    <w:link w:val="30"/>
    <w:unhideWhenUsed/>
    <w:qFormat/>
    <w:uiPriority w:val="0"/>
    <w:pPr>
      <w:keepNext/>
      <w:keepLines/>
      <w:spacing w:before="40" w:after="0"/>
      <w:outlineLvl w:val="5"/>
    </w:pPr>
    <w:rPr>
      <w:rFonts w:cstheme="majorBidi"/>
      <w:b/>
      <w:bCs/>
      <w:color w:val="2F5597" w:themeColor="accent1" w:themeShade="BF"/>
    </w:rPr>
  </w:style>
  <w:style w:type="paragraph" w:styleId="8">
    <w:name w:val="heading 7"/>
    <w:basedOn w:val="1"/>
    <w:next w:val="1"/>
    <w:link w:val="31"/>
    <w:unhideWhenUsed/>
    <w:qFormat/>
    <w:uiPriority w:val="0"/>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2"/>
    <w:unhideWhenUsed/>
    <w:qFormat/>
    <w:uiPriority w:val="0"/>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3"/>
    <w:unhideWhenUsed/>
    <w:qFormat/>
    <w:uiPriority w:val="0"/>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autoRedefine/>
    <w:unhideWhenUsed/>
    <w:qFormat/>
    <w:uiPriority w:val="39"/>
    <w:pPr>
      <w:ind w:left="840" w:leftChars="400"/>
    </w:pPr>
  </w:style>
  <w:style w:type="paragraph" w:styleId="12">
    <w:name w:val="Balloon Text"/>
    <w:basedOn w:val="1"/>
    <w:link w:val="56"/>
    <w:semiHidden/>
    <w:unhideWhenUsed/>
    <w:qFormat/>
    <w:uiPriority w:val="99"/>
    <w:pPr>
      <w:spacing w:after="0" w:line="240" w:lineRule="auto"/>
    </w:pPr>
    <w:rPr>
      <w:sz w:val="18"/>
      <w:szCs w:val="18"/>
    </w:rPr>
  </w:style>
  <w:style w:type="paragraph" w:styleId="13">
    <w:name w:val="footer"/>
    <w:basedOn w:val="1"/>
    <w:link w:val="44"/>
    <w:unhideWhenUsed/>
    <w:qFormat/>
    <w:uiPriority w:val="99"/>
    <w:pPr>
      <w:tabs>
        <w:tab w:val="center" w:pos="4153"/>
        <w:tab w:val="right" w:pos="8306"/>
      </w:tabs>
      <w:snapToGrid w:val="0"/>
      <w:spacing w:line="240" w:lineRule="auto"/>
    </w:pPr>
    <w:rPr>
      <w:sz w:val="18"/>
      <w:szCs w:val="18"/>
    </w:rPr>
  </w:style>
  <w:style w:type="paragraph" w:styleId="14">
    <w:name w:val="header"/>
    <w:basedOn w:val="1"/>
    <w:link w:val="43"/>
    <w:unhideWhenUsed/>
    <w:qFormat/>
    <w:uiPriority w:val="99"/>
    <w:pPr>
      <w:tabs>
        <w:tab w:val="center" w:pos="4153"/>
        <w:tab w:val="right" w:pos="8306"/>
      </w:tabs>
      <w:snapToGrid w:val="0"/>
      <w:spacing w:line="240" w:lineRule="auto"/>
      <w:jc w:val="center"/>
    </w:pPr>
    <w:rPr>
      <w:sz w:val="18"/>
      <w:szCs w:val="18"/>
    </w:rPr>
  </w:style>
  <w:style w:type="paragraph" w:styleId="15">
    <w:name w:val="toc 1"/>
    <w:basedOn w:val="1"/>
    <w:next w:val="1"/>
    <w:autoRedefine/>
    <w:unhideWhenUsed/>
    <w:qFormat/>
    <w:uiPriority w:val="39"/>
  </w:style>
  <w:style w:type="paragraph" w:styleId="16">
    <w:name w:val="Subtitle"/>
    <w:basedOn w:val="1"/>
    <w:next w:val="1"/>
    <w:link w:val="35"/>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toc 2"/>
    <w:basedOn w:val="1"/>
    <w:next w:val="1"/>
    <w:autoRedefine/>
    <w:unhideWhenUsed/>
    <w:qFormat/>
    <w:uiPriority w:val="39"/>
    <w:pPr>
      <w:ind w:left="420" w:leftChars="200"/>
    </w:pPr>
  </w:style>
  <w:style w:type="paragraph" w:styleId="18">
    <w:name w:val="Title"/>
    <w:basedOn w:val="1"/>
    <w:next w:val="1"/>
    <w:link w:val="34"/>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20">
    <w:name w:val="Table Grid"/>
    <w:basedOn w:val="19"/>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FollowedHyperlink"/>
    <w:basedOn w:val="21"/>
    <w:semiHidden/>
    <w:unhideWhenUsed/>
    <w:qFormat/>
    <w:uiPriority w:val="99"/>
    <w:rPr>
      <w:color w:val="954F72"/>
      <w:u w:val="single"/>
    </w:rPr>
  </w:style>
  <w:style w:type="character" w:styleId="24">
    <w:name w:val="Hyperlink"/>
    <w:basedOn w:val="21"/>
    <w:unhideWhenUsed/>
    <w:qFormat/>
    <w:uiPriority w:val="99"/>
    <w:rPr>
      <w:color w:val="0563C1"/>
      <w:u w:val="single"/>
    </w:rPr>
  </w:style>
  <w:style w:type="character" w:customStyle="1" w:styleId="25">
    <w:name w:val="标题 1 字符"/>
    <w:basedOn w:val="21"/>
    <w:link w:val="2"/>
    <w:qFormat/>
    <w:uiPriority w:val="9"/>
    <w:rPr>
      <w:rFonts w:asciiTheme="majorHAnsi" w:hAnsiTheme="majorHAnsi" w:eastAsiaTheme="majorEastAsia" w:cstheme="majorBidi"/>
      <w:color w:val="2F5597" w:themeColor="accent1" w:themeShade="BF"/>
      <w:sz w:val="48"/>
      <w:szCs w:val="48"/>
    </w:rPr>
  </w:style>
  <w:style w:type="character" w:customStyle="1" w:styleId="26">
    <w:name w:val="标题 2 字符"/>
    <w:basedOn w:val="21"/>
    <w:link w:val="3"/>
    <w:qFormat/>
    <w:uiPriority w:val="9"/>
    <w:rPr>
      <w:rFonts w:asciiTheme="majorHAnsi" w:hAnsiTheme="majorHAnsi" w:eastAsiaTheme="majorEastAsia" w:cstheme="majorBidi"/>
      <w:color w:val="2F5597" w:themeColor="accent1" w:themeShade="BF"/>
      <w:sz w:val="40"/>
      <w:szCs w:val="40"/>
    </w:rPr>
  </w:style>
  <w:style w:type="character" w:customStyle="1" w:styleId="27">
    <w:name w:val="标题 3 字符"/>
    <w:basedOn w:val="21"/>
    <w:link w:val="4"/>
    <w:qFormat/>
    <w:uiPriority w:val="99"/>
    <w:rPr>
      <w:rFonts w:asciiTheme="majorHAnsi" w:hAnsiTheme="majorHAnsi" w:eastAsiaTheme="majorEastAsia" w:cstheme="majorBidi"/>
      <w:color w:val="2F5597" w:themeColor="accent1" w:themeShade="BF"/>
      <w:sz w:val="32"/>
      <w:szCs w:val="32"/>
    </w:rPr>
  </w:style>
  <w:style w:type="character" w:customStyle="1" w:styleId="28">
    <w:name w:val="标题 4 字符"/>
    <w:basedOn w:val="21"/>
    <w:link w:val="5"/>
    <w:semiHidden/>
    <w:qFormat/>
    <w:uiPriority w:val="9"/>
    <w:rPr>
      <w:rFonts w:cstheme="majorBidi"/>
      <w:color w:val="2F5597" w:themeColor="accent1" w:themeShade="BF"/>
      <w:sz w:val="28"/>
      <w:szCs w:val="28"/>
    </w:rPr>
  </w:style>
  <w:style w:type="character" w:customStyle="1" w:styleId="29">
    <w:name w:val="标题 5 字符"/>
    <w:basedOn w:val="21"/>
    <w:link w:val="6"/>
    <w:semiHidden/>
    <w:uiPriority w:val="9"/>
    <w:rPr>
      <w:rFonts w:cstheme="majorBidi"/>
      <w:color w:val="2F5597" w:themeColor="accent1" w:themeShade="BF"/>
      <w:sz w:val="24"/>
    </w:rPr>
  </w:style>
  <w:style w:type="character" w:customStyle="1" w:styleId="30">
    <w:name w:val="标题 6 字符"/>
    <w:basedOn w:val="21"/>
    <w:link w:val="7"/>
    <w:semiHidden/>
    <w:qFormat/>
    <w:uiPriority w:val="9"/>
    <w:rPr>
      <w:rFonts w:cstheme="majorBidi"/>
      <w:b/>
      <w:bCs/>
      <w:color w:val="2F5597" w:themeColor="accent1" w:themeShade="BF"/>
    </w:rPr>
  </w:style>
  <w:style w:type="character" w:customStyle="1" w:styleId="31">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2">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3">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4">
    <w:name w:val="标题 字符"/>
    <w:basedOn w:val="21"/>
    <w:link w:val="18"/>
    <w:qFormat/>
    <w:uiPriority w:val="10"/>
    <w:rPr>
      <w:rFonts w:asciiTheme="majorHAnsi" w:hAnsiTheme="majorHAnsi" w:eastAsiaTheme="majorEastAsia" w:cstheme="majorBidi"/>
      <w:spacing w:val="-10"/>
      <w:kern w:val="28"/>
      <w:sz w:val="56"/>
      <w:szCs w:val="56"/>
    </w:rPr>
  </w:style>
  <w:style w:type="character" w:customStyle="1" w:styleId="35">
    <w:name w:val="副标题 字符"/>
    <w:basedOn w:val="21"/>
    <w:link w:val="1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6">
    <w:name w:val="Quote"/>
    <w:basedOn w:val="1"/>
    <w:next w:val="1"/>
    <w:link w:val="3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7">
    <w:name w:val="引用 字符"/>
    <w:basedOn w:val="21"/>
    <w:link w:val="36"/>
    <w:qFormat/>
    <w:uiPriority w:val="29"/>
    <w:rPr>
      <w:i/>
      <w:iCs/>
      <w:color w:val="404040" w:themeColor="text1" w:themeTint="BF"/>
      <w14:textFill>
        <w14:solidFill>
          <w14:schemeClr w14:val="tx1">
            <w14:lumMod w14:val="75000"/>
            <w14:lumOff w14:val="25000"/>
          </w14:schemeClr>
        </w14:solidFill>
      </w14:textFill>
    </w:rPr>
  </w:style>
  <w:style w:type="paragraph" w:styleId="38">
    <w:name w:val="List Paragraph"/>
    <w:basedOn w:val="1"/>
    <w:qFormat/>
    <w:uiPriority w:val="99"/>
    <w:pPr>
      <w:ind w:left="720"/>
      <w:contextualSpacing/>
    </w:pPr>
  </w:style>
  <w:style w:type="character" w:customStyle="1" w:styleId="39">
    <w:name w:val="Intense Emphasis"/>
    <w:basedOn w:val="21"/>
    <w:qFormat/>
    <w:uiPriority w:val="21"/>
    <w:rPr>
      <w:i/>
      <w:iCs/>
      <w:color w:val="2F5597" w:themeColor="accent1" w:themeShade="BF"/>
    </w:rPr>
  </w:style>
  <w:style w:type="paragraph" w:styleId="40">
    <w:name w:val="Intense Quote"/>
    <w:basedOn w:val="1"/>
    <w:next w:val="1"/>
    <w:link w:val="41"/>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1">
    <w:name w:val="明显引用 字符"/>
    <w:basedOn w:val="21"/>
    <w:link w:val="40"/>
    <w:uiPriority w:val="30"/>
    <w:rPr>
      <w:i/>
      <w:iCs/>
      <w:color w:val="2F5597" w:themeColor="accent1" w:themeShade="BF"/>
    </w:rPr>
  </w:style>
  <w:style w:type="character" w:customStyle="1" w:styleId="42">
    <w:name w:val="Intense Reference"/>
    <w:basedOn w:val="21"/>
    <w:qFormat/>
    <w:uiPriority w:val="32"/>
    <w:rPr>
      <w:b/>
      <w:bCs/>
      <w:smallCaps/>
      <w:color w:val="2F5597" w:themeColor="accent1" w:themeShade="BF"/>
      <w:spacing w:val="5"/>
    </w:rPr>
  </w:style>
  <w:style w:type="character" w:customStyle="1" w:styleId="43">
    <w:name w:val="页眉 字符"/>
    <w:basedOn w:val="21"/>
    <w:link w:val="14"/>
    <w:qFormat/>
    <w:uiPriority w:val="99"/>
    <w:rPr>
      <w:sz w:val="18"/>
      <w:szCs w:val="18"/>
    </w:rPr>
  </w:style>
  <w:style w:type="character" w:customStyle="1" w:styleId="44">
    <w:name w:val="页脚 字符"/>
    <w:basedOn w:val="21"/>
    <w:link w:val="13"/>
    <w:uiPriority w:val="99"/>
    <w:rPr>
      <w:sz w:val="18"/>
      <w:szCs w:val="18"/>
    </w:rPr>
  </w:style>
  <w:style w:type="paragraph" w:customStyle="1" w:styleId="45">
    <w:name w:val="font5"/>
    <w:basedOn w:val="1"/>
    <w:qFormat/>
    <w:uiPriority w:val="0"/>
    <w:pPr>
      <w:widowControl/>
      <w:spacing w:before="100" w:beforeAutospacing="1" w:after="100" w:afterAutospacing="1" w:line="240" w:lineRule="auto"/>
    </w:pPr>
    <w:rPr>
      <w:rFonts w:ascii="等线" w:hAnsi="等线" w:eastAsia="等线" w:cs="宋体"/>
      <w:kern w:val="0"/>
      <w:sz w:val="18"/>
      <w:szCs w:val="18"/>
    </w:rPr>
  </w:style>
  <w:style w:type="paragraph" w:customStyle="1" w:styleId="4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 w:hAnsi="仿宋" w:eastAsia="仿宋" w:cs="宋体"/>
      <w:color w:val="000000"/>
      <w:kern w:val="0"/>
      <w:sz w:val="20"/>
      <w:szCs w:val="20"/>
    </w:rPr>
  </w:style>
  <w:style w:type="paragraph" w:customStyle="1" w:styleId="47">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 w:hAnsi="仿宋" w:eastAsia="仿宋" w:cs="宋体"/>
      <w:kern w:val="0"/>
      <w:sz w:val="20"/>
      <w:szCs w:val="20"/>
    </w:rPr>
  </w:style>
  <w:style w:type="paragraph" w:customStyle="1" w:styleId="4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 w:hAnsi="仿宋" w:eastAsia="仿宋" w:cs="宋体"/>
      <w:kern w:val="0"/>
      <w:sz w:val="20"/>
      <w:szCs w:val="20"/>
    </w:rPr>
  </w:style>
  <w:style w:type="paragraph" w:customStyle="1" w:styleId="4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 w:hAnsi="仿宋" w:eastAsia="仿宋" w:cs="宋体"/>
      <w:color w:val="000000"/>
      <w:kern w:val="0"/>
      <w:sz w:val="20"/>
      <w:szCs w:val="20"/>
    </w:rPr>
  </w:style>
  <w:style w:type="paragraph" w:customStyle="1" w:styleId="5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仿宋" w:hAnsi="仿宋" w:eastAsia="仿宋" w:cs="宋体"/>
      <w:color w:val="000000"/>
      <w:kern w:val="0"/>
      <w:sz w:val="20"/>
      <w:szCs w:val="20"/>
    </w:rPr>
  </w:style>
  <w:style w:type="paragraph" w:customStyle="1" w:styleId="51">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仿宋" w:hAnsi="仿宋" w:eastAsia="仿宋" w:cs="宋体"/>
      <w:kern w:val="0"/>
      <w:sz w:val="20"/>
      <w:szCs w:val="20"/>
    </w:rPr>
  </w:style>
  <w:style w:type="paragraph" w:customStyle="1" w:styleId="52">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24"/>
    </w:rPr>
  </w:style>
  <w:style w:type="paragraph" w:customStyle="1" w:styleId="5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仿宋" w:hAnsi="仿宋" w:eastAsia="仿宋" w:cs="宋体"/>
      <w:kern w:val="0"/>
      <w:sz w:val="20"/>
      <w:szCs w:val="20"/>
    </w:rPr>
  </w:style>
  <w:style w:type="paragraph" w:customStyle="1" w:styleId="54">
    <w:name w:val="msonormal"/>
    <w:basedOn w:val="1"/>
    <w:qFormat/>
    <w:uiPriority w:val="0"/>
    <w:pPr>
      <w:widowControl/>
      <w:spacing w:before="100" w:beforeAutospacing="1" w:after="100" w:afterAutospacing="1" w:line="240" w:lineRule="auto"/>
    </w:pPr>
    <w:rPr>
      <w:rFonts w:ascii="宋体" w:hAnsi="宋体" w:eastAsia="宋体" w:cs="宋体"/>
      <w:kern w:val="0"/>
      <w:sz w:val="24"/>
    </w:rPr>
  </w:style>
  <w:style w:type="paragraph" w:customStyle="1" w:styleId="55">
    <w:name w:val="TOC Heading"/>
    <w:basedOn w:val="2"/>
    <w:next w:val="1"/>
    <w:semiHidden/>
    <w:unhideWhenUsed/>
    <w:qFormat/>
    <w:uiPriority w:val="39"/>
    <w:pPr>
      <w:widowControl/>
      <w:spacing w:after="0" w:line="276" w:lineRule="auto"/>
      <w:outlineLvl w:val="9"/>
    </w:pPr>
    <w:rPr>
      <w:b/>
      <w:bCs/>
      <w:kern w:val="0"/>
      <w:sz w:val="28"/>
      <w:szCs w:val="28"/>
    </w:rPr>
  </w:style>
  <w:style w:type="character" w:customStyle="1" w:styleId="56">
    <w:name w:val="批注框文本 字符"/>
    <w:basedOn w:val="21"/>
    <w:link w:val="12"/>
    <w:semiHidden/>
    <w:qFormat/>
    <w:uiPriority w:val="99"/>
    <w:rPr>
      <w:sz w:val="18"/>
      <w:szCs w:val="18"/>
    </w:rPr>
  </w:style>
  <w:style w:type="character" w:customStyle="1" w:styleId="57">
    <w:name w:val="ds-markdown-cite"/>
    <w:basedOn w:val="21"/>
    <w:qFormat/>
    <w:uiPriority w:val="0"/>
  </w:style>
  <w:style w:type="paragraph" w:customStyle="1" w:styleId="58">
    <w:name w:val="ds-markdown-paragraph"/>
    <w:basedOn w:val="1"/>
    <w:uiPriority w:val="0"/>
    <w:pPr>
      <w:widowControl/>
      <w:spacing w:before="100" w:beforeAutospacing="1" w:after="100" w:afterAutospacing="1" w:line="240" w:lineRule="auto"/>
    </w:pPr>
    <w:rPr>
      <w:rFonts w:ascii="宋体" w:hAnsi="宋体" w:eastAsia="宋体" w:cs="宋体"/>
      <w:kern w:val="0"/>
      <w:sz w:val="24"/>
    </w:rPr>
  </w:style>
  <w:style w:type="character" w:customStyle="1" w:styleId="59">
    <w:name w:val="_2ed5dee"/>
    <w:basedOn w:val="21"/>
    <w:qFormat/>
    <w:uiPriority w:val="0"/>
  </w:style>
  <w:style w:type="paragraph" w:customStyle="1" w:styleId="60">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仿宋" w:hAnsi="仿宋" w:eastAsia="仿宋"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actReview xmlns="http://schemas.wps.cn/vas-ai-hub/contract-review">
  <reviewItems>
    <reviewItem>
      <errorID>31f5b123-99a6-4ed9-8d43-81a0d6a4aa16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43320E7</paraID>
      <start>5</start>
      <end>6</end>
      <status>modified</status>
      <modifiedWord>—</modifiedWord>
      <trackRevisions>false</trackRevisions>
    </reviewItem>
    <reviewItem>
      <errorID>08a824dd-ef47-42e5-91f4-f5351ee68955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262F0A52</paraID>
      <start>214</start>
      <end>215</end>
      <status>modified</status>
      <modifiedWord>—</modifiedWord>
      <trackRevisions>false</trackRevisions>
    </reviewItem>
    <reviewItem>
      <errorID>fd70e627-b857-4a1e-9336-5ab8244899ec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62EB912D</paraID>
      <start>0</start>
      <end>2</end>
      <status>modified</status>
      <modifiedWord>1.</modifiedWord>
      <trackRevisions>false</trackRevisions>
    </reviewItem>
    <reviewItem>
      <errorID>71d9e219-589b-4366-9f89-bfffb6f81caf</errorID>
      <errorWord>(</errorWord>
      <group>L1_Format</group>
      <groupName>格式问题</groupName>
      <ability>L2_HalfPunc_CN</ability>
      <abilityName/>
      <candidateList>
        <item>（</item>
      </candidateList>
      <explain>文本全半角错误。</explain>
      <paraID>57F5C8F2</paraID>
      <start>45</start>
      <end>46</end>
      <status>modified</status>
      <modifiedWord>（</modifiedWord>
      <trackRevisions>false</trackRevisions>
    </reviewItem>
    <reviewItem>
      <errorID>cdf3f123-b406-4e40-baae-1b53b999fee6</errorID>
      <errorWord>)</errorWord>
      <group>L1_Format</group>
      <groupName>格式问题</groupName>
      <ability>L2_HalfPunc_CN</ability>
      <abilityName/>
      <candidateList>
        <item>）</item>
      </candidateList>
      <explain>文本全半角错误。</explain>
      <paraID>57F5C8F2</paraID>
      <start>60</start>
      <end>61</end>
      <status>modified</status>
      <modifiedWord>）</modifiedWord>
      <trackRevisions>false</trackRevisions>
    </reviewItem>
    <reviewItem>
      <errorID>5115ca9a-59fe-442c-846e-cd61a94c7b0e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66518DBF</paraID>
      <start>0</start>
      <end>2</end>
      <status>modified</status>
      <modifiedWord>2.</modifiedWord>
      <trackRevisions>false</trackRevisions>
    </reviewItem>
    <reviewItem>
      <errorID>bce8f4ee-f1ae-4474-8531-d31dac7dd50e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2A7F2F65</paraID>
      <start>0</start>
      <end>2</end>
      <status>modified</status>
      <modifiedWord>2.</modifiedWord>
      <trackRevisions>false</trackRevisions>
    </reviewItem>
    <reviewItem>
      <errorID>ee301828-52ee-4f60-bb36-c0f8e6790d5e</errorID>
      <errorWord>;</errorWord>
      <group>L1_Format</group>
      <groupName>格式问题</groupName>
      <ability>L2_HalfPunc_CN</ability>
      <abilityName/>
      <candidateList>
        <item>；</item>
      </candidateList>
      <explain>文本全半角错误。</explain>
      <paraID>705B174C</paraID>
      <start>75</start>
      <end>76</end>
      <status>modified</status>
      <modifiedWord>；</modifiedWord>
      <trackRevisions>false</trackRevisions>
    </reviewItem>
    <reviewItem>
      <errorID>3b097d1c-627f-4616-8eee-d9b93ef1c6f3</errorID>
      <errorWord>国土空间“一张图”</errorWord>
      <group>L1_Political</group>
      <groupName>政治性问题</groupName>
      <ability>L2_Keyword</ability>
      <abilityName>固定表述</abilityName>
      <candidateList>
        <item>国土空间规划“一张图”</item>
      </candidateList>
      <explain>词汇“国土空间规划“一张图””在特定场景下为固定表述形式，请确认此处的“国土空间“一张图””是否存在不当。</explain>
      <paraID>35619E89</paraID>
      <start>156</start>
      <end>167</end>
      <status>modified</status>
      <modifiedWord>国土空间规划“一张图”</modifiedWord>
      <trackRevisions>false</trackRevisions>
    </reviewItem>
  </reviewItems>
  <config/>
</contractReview>
</file>

<file path=customXml/itemProps1.xml><?xml version="1.0" encoding="utf-8"?>
<ds:datastoreItem xmlns:ds="http://schemas.openxmlformats.org/officeDocument/2006/customXml" ds:itemID="{EBBE371B-1D2E-4E87-B07E-6B0E6AB98EF5}">
  <ds:schemaRefs/>
</ds:datastoreItem>
</file>

<file path=customXml/itemProps2.xml><?xml version="1.0" encoding="utf-8"?>
<ds:datastoreItem xmlns:ds="http://schemas.openxmlformats.org/officeDocument/2006/customXml" ds:itemID="{4f189798-82c6-4228-88c6-c82d209d9615}">
  <ds:schemaRefs/>
</ds:datastoreItem>
</file>

<file path=docProps/app.xml><?xml version="1.0" encoding="utf-8"?>
<Properties xmlns="http://schemas.openxmlformats.org/officeDocument/2006/extended-properties" xmlns:vt="http://schemas.openxmlformats.org/officeDocument/2006/docPropsVTypes">
  <Template>Normal</Template>
  <Pages>11</Pages>
  <Words>2548</Words>
  <Characters>2615</Characters>
  <Lines>18</Lines>
  <Paragraphs>5</Paragraphs>
  <TotalTime>1056</TotalTime>
  <ScaleCrop>false</ScaleCrop>
  <LinksUpToDate>false</LinksUpToDate>
  <CharactersWithSpaces>2615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2026-04-28T10:22:00Z</dcterms:created>
  <dc:creator>xin wang</dc:creator>
  <cp:lastModifiedBy>哄哄</cp:lastModifiedBy>
  <cp:lastPrinted>2026-05-19T09:49:00Z</cp:lastPrinted>
  <dcterms:modified xsi:type="dcterms:W3CDTF">2026-06-01T09:38:10Z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eyJoZGlkIjoiYzg3OTYyZGRkNTkwMWU4NDY3MTczNzVmNmU4Y2U4ZGEiLCJ1c2VySWQiOiIxNDI4MDYxMjMzIn0=</vt:lpwstr>
  </property>
  <property fmtid="{D5CDD505-2E9C-101B-9397-08002B2CF9AE}" pid="3" name="KSOProductBuildVer">
    <vt:lpwstr>2052-12.1.0.26895</vt:lpwstr>
  </property>
  <property fmtid="{D5CDD505-2E9C-101B-9397-08002B2CF9AE}" pid="4" name="ICV">
    <vt:lpwstr>C167A9A8420545BDBEB002917CDC403D_12</vt:lpwstr>
  </property>
</Properties>
</file>